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12A2EFD5">
      <w:pPr>
        <w:pStyle w:val="39"/>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eastAsia"/>
          <w:b/>
          <w:bCs/>
          <w:sz w:val="40"/>
          <w:szCs w:val="40"/>
          <w:lang w:eastAsia="zh-CN"/>
        </w:rPr>
      </w:pPr>
      <w:bookmarkStart w:id="0" w:name="_Toc578"/>
      <w:bookmarkStart w:id="1" w:name="_Toc5725"/>
      <w:bookmarkStart w:id="2" w:name="_Toc6478"/>
      <w:r>
        <w:rPr>
          <w:rFonts w:hint="eastAsia"/>
          <w:b/>
          <w:bCs/>
          <w:sz w:val="40"/>
          <w:szCs w:val="40"/>
        </w:rPr>
        <w:t>项目编号：QXZB-2026-0536X</w:t>
      </w:r>
    </w:p>
    <w:p w14:paraId="0CAF5235">
      <w:pPr>
        <w:pStyle w:val="39"/>
        <w:keepNext w:val="0"/>
        <w:keepLines w:val="0"/>
        <w:pageBreakBefore w:val="0"/>
        <w:widowControl w:val="0"/>
        <w:kinsoku/>
        <w:wordWrap/>
        <w:overflowPunct/>
        <w:topLinePunct w:val="0"/>
        <w:autoSpaceDE/>
        <w:autoSpaceDN/>
        <w:bidi w:val="0"/>
        <w:adjustRightInd w:val="0"/>
        <w:snapToGrid w:val="0"/>
        <w:spacing w:before="157" w:beforeLines="50" w:line="360" w:lineRule="auto"/>
        <w:textAlignment w:val="auto"/>
        <w:rPr>
          <w:rFonts w:hint="eastAsia"/>
          <w:b/>
          <w:bCs/>
          <w:sz w:val="40"/>
          <w:szCs w:val="40"/>
        </w:rPr>
      </w:pPr>
      <w:r>
        <w:rPr>
          <w:rFonts w:hint="eastAsia"/>
          <w:b/>
          <w:bCs/>
          <w:sz w:val="40"/>
          <w:szCs w:val="40"/>
          <w:lang w:val="en-US" w:eastAsia="zh-CN"/>
        </w:rPr>
        <w:t>校方</w:t>
      </w:r>
      <w:r>
        <w:rPr>
          <w:rFonts w:hint="eastAsia"/>
          <w:b/>
          <w:bCs/>
          <w:sz w:val="40"/>
          <w:szCs w:val="40"/>
        </w:rPr>
        <w:t>编号：</w:t>
      </w:r>
      <w:r>
        <w:rPr>
          <w:rFonts w:hint="eastAsia"/>
          <w:b/>
          <w:bCs/>
          <w:sz w:val="40"/>
          <w:szCs w:val="40"/>
          <w:lang w:eastAsia="zh-CN"/>
        </w:rPr>
        <w:t>SWPUT-2026-0046-JC</w:t>
      </w:r>
    </w:p>
    <w:p w14:paraId="619F2164">
      <w:pPr>
        <w:pStyle w:val="39"/>
        <w:keepNext w:val="0"/>
        <w:keepLines w:val="0"/>
        <w:pageBreakBefore w:val="0"/>
        <w:widowControl w:val="0"/>
        <w:tabs>
          <w:tab w:val="left" w:pos="5017"/>
        </w:tabs>
        <w:kinsoku/>
        <w:wordWrap/>
        <w:overflowPunct/>
        <w:topLinePunct w:val="0"/>
        <w:autoSpaceDE/>
        <w:autoSpaceDN/>
        <w:bidi w:val="0"/>
        <w:adjustRightInd w:val="0"/>
        <w:snapToGrid w:val="0"/>
        <w:spacing w:line="360" w:lineRule="auto"/>
        <w:textAlignment w:val="auto"/>
        <w:rPr>
          <w:rFonts w:hint="eastAsia" w:eastAsia="宋体"/>
          <w:b/>
          <w:bCs/>
          <w:sz w:val="40"/>
          <w:szCs w:val="40"/>
          <w:lang w:eastAsia="zh-CN"/>
        </w:rPr>
      </w:pPr>
      <w:r>
        <w:rPr>
          <w:rFonts w:hint="eastAsia"/>
          <w:b/>
          <w:bCs/>
          <w:sz w:val="40"/>
          <w:szCs w:val="40"/>
        </w:rPr>
        <w:t>项目名称：</w:t>
      </w:r>
      <w:r>
        <w:rPr>
          <w:rFonts w:hint="eastAsia"/>
          <w:b/>
          <w:bCs/>
          <w:sz w:val="40"/>
          <w:szCs w:val="40"/>
          <w:lang w:eastAsia="zh-CN"/>
        </w:rPr>
        <w:t>西南石油大学四川省天然气产业产教深度融合综合示范基地跟踪审计服务</w:t>
      </w:r>
    </w:p>
    <w:p w14:paraId="797AF81F">
      <w:pPr>
        <w:pStyle w:val="39"/>
        <w:keepNext w:val="0"/>
        <w:keepLines w:val="0"/>
        <w:pageBreakBefore w:val="0"/>
        <w:widowControl w:val="0"/>
        <w:kinsoku/>
        <w:wordWrap w:val="0"/>
        <w:overflowPunct/>
        <w:topLinePunct/>
        <w:autoSpaceDE/>
        <w:autoSpaceDN/>
        <w:bidi w:val="0"/>
        <w:adjustRightInd w:val="0"/>
        <w:snapToGrid w:val="0"/>
        <w:spacing w:before="4369" w:beforeLines="1400" w:after="4369" w:afterLines="1400" w:line="240" w:lineRule="auto"/>
        <w:jc w:val="center"/>
        <w:textAlignment w:val="auto"/>
        <w:rPr>
          <w:rFonts w:hint="eastAsia"/>
          <w:b/>
          <w:bCs/>
          <w:sz w:val="96"/>
          <w:szCs w:val="96"/>
        </w:rPr>
      </w:pPr>
      <w:r>
        <w:rPr>
          <w:rFonts w:hint="eastAsia" w:asciiTheme="minorEastAsia" w:hAnsiTheme="minorEastAsia" w:eastAsiaTheme="minorEastAsia" w:cstheme="minorEastAsia"/>
          <w:b/>
          <w:color w:val="000000"/>
          <w:sz w:val="96"/>
          <w:szCs w:val="96"/>
        </w:rPr>
        <w:t>竞争性磋商文件</w:t>
      </w:r>
    </w:p>
    <w:p w14:paraId="20D99FE9">
      <w:pPr>
        <w:pStyle w:val="39"/>
        <w:keepNext w:val="0"/>
        <w:keepLines w:val="0"/>
        <w:pageBreakBefore w:val="0"/>
        <w:widowControl w:val="0"/>
        <w:kinsoku/>
        <w:wordWrap/>
        <w:overflowPunct/>
        <w:topLinePunct w:val="0"/>
        <w:autoSpaceDE/>
        <w:autoSpaceDN/>
        <w:bidi w:val="0"/>
        <w:adjustRightInd w:val="0"/>
        <w:snapToGrid w:val="0"/>
        <w:spacing w:line="360" w:lineRule="auto"/>
        <w:ind w:firstLine="2811" w:firstLineChars="1000"/>
        <w:jc w:val="both"/>
        <w:textAlignment w:val="auto"/>
        <w:rPr>
          <w:rFonts w:hint="eastAsia"/>
          <w:b/>
          <w:bCs/>
          <w:sz w:val="28"/>
          <w:szCs w:val="28"/>
        </w:rPr>
      </w:pPr>
      <w:r>
        <w:rPr>
          <w:rFonts w:hint="eastAsia"/>
          <w:b/>
          <w:bCs/>
          <w:sz w:val="28"/>
          <w:szCs w:val="28"/>
        </w:rPr>
        <w:t>中国·四川</w:t>
      </w:r>
    </w:p>
    <w:p w14:paraId="4AFF21E7">
      <w:pPr>
        <w:pStyle w:val="39"/>
        <w:keepNext w:val="0"/>
        <w:keepLines w:val="0"/>
        <w:pageBreakBefore w:val="0"/>
        <w:widowControl w:val="0"/>
        <w:kinsoku/>
        <w:wordWrap/>
        <w:overflowPunct/>
        <w:topLinePunct w:val="0"/>
        <w:autoSpaceDE/>
        <w:autoSpaceDN/>
        <w:bidi w:val="0"/>
        <w:adjustRightInd w:val="0"/>
        <w:snapToGrid w:val="0"/>
        <w:spacing w:line="360" w:lineRule="auto"/>
        <w:ind w:left="2403" w:leftChars="500" w:hanging="1203" w:hangingChars="428"/>
        <w:textAlignment w:val="auto"/>
        <w:rPr>
          <w:rFonts w:hint="eastAsia"/>
          <w:b/>
          <w:bCs/>
          <w:sz w:val="28"/>
          <w:szCs w:val="28"/>
        </w:rPr>
      </w:pPr>
      <w:r>
        <w:rPr>
          <w:rFonts w:hint="eastAsia"/>
          <w:b/>
          <w:bCs/>
          <w:sz w:val="28"/>
          <w:szCs w:val="28"/>
        </w:rPr>
        <w:t>采   购   人：</w:t>
      </w:r>
      <w:r>
        <w:rPr>
          <w:rFonts w:hint="eastAsia"/>
          <w:b/>
          <w:bCs/>
          <w:sz w:val="28"/>
          <w:szCs w:val="28"/>
          <w:lang w:eastAsia="zh-CN"/>
        </w:rPr>
        <w:t>西南石油大学</w:t>
      </w:r>
      <w:r>
        <w:rPr>
          <w:rFonts w:hint="eastAsia"/>
          <w:b/>
          <w:bCs/>
          <w:sz w:val="28"/>
          <w:szCs w:val="28"/>
        </w:rPr>
        <w:t xml:space="preserve">       </w:t>
      </w:r>
    </w:p>
    <w:p w14:paraId="6C6A231E">
      <w:pPr>
        <w:pStyle w:val="39"/>
        <w:keepNext w:val="0"/>
        <w:keepLines w:val="0"/>
        <w:pageBreakBefore w:val="0"/>
        <w:widowControl w:val="0"/>
        <w:kinsoku/>
        <w:wordWrap/>
        <w:overflowPunct/>
        <w:topLinePunct w:val="0"/>
        <w:autoSpaceDE/>
        <w:autoSpaceDN/>
        <w:bidi w:val="0"/>
        <w:adjustRightInd w:val="0"/>
        <w:snapToGrid w:val="0"/>
        <w:spacing w:line="360" w:lineRule="auto"/>
        <w:ind w:left="2403" w:leftChars="500" w:hanging="1203" w:hangingChars="428"/>
        <w:textAlignment w:val="auto"/>
        <w:rPr>
          <w:rFonts w:hint="eastAsia"/>
          <w:b/>
          <w:bCs/>
          <w:sz w:val="28"/>
          <w:szCs w:val="28"/>
        </w:rPr>
      </w:pPr>
      <w:r>
        <w:rPr>
          <w:rFonts w:hint="eastAsia"/>
          <w:b/>
          <w:bCs/>
          <w:sz w:val="28"/>
          <w:szCs w:val="28"/>
        </w:rPr>
        <w:t>采购代理机构：四川乾新招投标代理有限公司</w:t>
      </w:r>
    </w:p>
    <w:p w14:paraId="2CBB3793">
      <w:pPr>
        <w:pStyle w:val="39"/>
        <w:keepNext w:val="0"/>
        <w:keepLines w:val="0"/>
        <w:pageBreakBefore w:val="0"/>
        <w:widowControl w:val="0"/>
        <w:kinsoku/>
        <w:wordWrap/>
        <w:overflowPunct/>
        <w:topLinePunct w:val="0"/>
        <w:autoSpaceDE/>
        <w:autoSpaceDN/>
        <w:bidi w:val="0"/>
        <w:adjustRightInd w:val="0"/>
        <w:snapToGrid w:val="0"/>
        <w:spacing w:line="360" w:lineRule="auto"/>
        <w:ind w:left="2403" w:leftChars="500" w:hanging="1203" w:hangingChars="428"/>
        <w:textAlignment w:val="auto"/>
        <w:rPr>
          <w:rFonts w:hint="eastAsia"/>
          <w:b/>
          <w:bCs/>
          <w:sz w:val="28"/>
          <w:szCs w:val="28"/>
        </w:rPr>
      </w:pPr>
      <w:r>
        <w:rPr>
          <w:rFonts w:hint="eastAsia"/>
          <w:b/>
          <w:bCs/>
          <w:sz w:val="28"/>
          <w:szCs w:val="28"/>
          <w:lang w:val="en-US" w:eastAsia="zh-CN"/>
        </w:rPr>
        <w:t>文  件 编 制：由采购人和</w:t>
      </w:r>
      <w:r>
        <w:rPr>
          <w:rFonts w:hint="eastAsia"/>
          <w:b/>
          <w:bCs/>
          <w:sz w:val="28"/>
          <w:szCs w:val="28"/>
        </w:rPr>
        <w:t>采购代理机构</w:t>
      </w:r>
      <w:r>
        <w:rPr>
          <w:rFonts w:hint="eastAsia"/>
          <w:b/>
          <w:bCs/>
          <w:sz w:val="28"/>
          <w:szCs w:val="28"/>
          <w:lang w:val="en-US" w:eastAsia="zh-CN"/>
        </w:rPr>
        <w:t>共同编制</w:t>
      </w:r>
    </w:p>
    <w:p w14:paraId="7844048A">
      <w:pPr>
        <w:pStyle w:val="39"/>
        <w:keepNext w:val="0"/>
        <w:keepLines w:val="0"/>
        <w:pageBreakBefore w:val="0"/>
        <w:widowControl w:val="0"/>
        <w:kinsoku/>
        <w:wordWrap/>
        <w:overflowPunct/>
        <w:topLinePunct w:val="0"/>
        <w:autoSpaceDE/>
        <w:autoSpaceDN/>
        <w:bidi w:val="0"/>
        <w:adjustRightInd w:val="0"/>
        <w:snapToGrid w:val="0"/>
        <w:spacing w:line="360" w:lineRule="auto"/>
        <w:ind w:firstLine="2811" w:firstLineChars="1000"/>
        <w:jc w:val="both"/>
        <w:textAlignment w:val="auto"/>
        <w:rPr>
          <w:rFonts w:hint="eastAsia" w:eastAsia="宋体"/>
          <w:b/>
          <w:bCs/>
          <w:sz w:val="28"/>
          <w:szCs w:val="28"/>
          <w:lang w:eastAsia="zh-CN"/>
        </w:rPr>
        <w:sectPr>
          <w:headerReference r:id="rId7" w:type="first"/>
          <w:footerReference r:id="rId9" w:type="first"/>
          <w:headerReference r:id="rId5" w:type="default"/>
          <w:headerReference r:id="rId6" w:type="even"/>
          <w:footerReference r:id="rId8" w:type="even"/>
          <w:pgSz w:w="11906" w:h="16838"/>
          <w:pgMar w:top="1440" w:right="1800" w:bottom="1440" w:left="1800" w:header="851" w:footer="992" w:gutter="0"/>
          <w:pgBorders>
            <w:top w:val="none" w:sz="0" w:space="0"/>
            <w:left w:val="none" w:sz="0" w:space="0"/>
            <w:bottom w:val="none" w:sz="0" w:space="0"/>
            <w:right w:val="none" w:sz="0" w:space="0"/>
          </w:pgBorders>
          <w:pgNumType w:start="0"/>
          <w:cols w:space="720" w:num="1"/>
          <w:titlePg/>
          <w:docGrid w:linePitch="312" w:charSpace="0"/>
        </w:sectPr>
      </w:pPr>
      <w:r>
        <w:rPr>
          <w:rFonts w:hint="eastAsia"/>
          <w:b/>
          <w:bCs/>
          <w:sz w:val="28"/>
          <w:szCs w:val="28"/>
          <w:lang w:val="en-US" w:eastAsia="zh-CN"/>
        </w:rPr>
        <w:t>20</w:t>
      </w:r>
      <w:r>
        <w:rPr>
          <w:rFonts w:hint="eastAsia"/>
          <w:b/>
          <w:bCs/>
          <w:sz w:val="28"/>
          <w:szCs w:val="28"/>
          <w:highlight w:val="none"/>
          <w:lang w:val="en-US" w:eastAsia="zh-CN"/>
        </w:rPr>
        <w:t>26年5月</w:t>
      </w:r>
    </w:p>
    <w:p w14:paraId="6DB41C95">
      <w:pPr>
        <w:pStyle w:val="39"/>
        <w:bidi w:val="0"/>
        <w:jc w:val="center"/>
        <w:rPr>
          <w:rFonts w:hint="eastAsia"/>
        </w:rPr>
      </w:pPr>
      <w:r>
        <w:rPr>
          <w:rFonts w:hint="eastAsia"/>
          <w:b/>
          <w:bCs/>
        </w:rPr>
        <w:t>目  录</w:t>
      </w:r>
      <w:bookmarkEnd w:id="0"/>
      <w:bookmarkEnd w:id="1"/>
    </w:p>
    <w:p w14:paraId="5511BF5D">
      <w:pPr>
        <w:pStyle w:val="17"/>
        <w:tabs>
          <w:tab w:val="right" w:leader="dot" w:pos="8306"/>
          <w:tab w:val="clear" w:pos="0"/>
          <w:tab w:val="clear" w:pos="9746"/>
        </w:tabs>
      </w:pPr>
      <w:bookmarkStart w:id="3" w:name="_Toc26242"/>
      <w:bookmarkStart w:id="4" w:name="_Toc15794"/>
      <w:bookmarkStart w:id="5" w:name="_Toc28748"/>
      <w:r>
        <w:fldChar w:fldCharType="begin"/>
      </w:r>
      <w:r>
        <w:instrText xml:space="preserve">TOC \o "1-3" \h \u </w:instrText>
      </w:r>
      <w:r>
        <w:fldChar w:fldCharType="separate"/>
      </w:r>
      <w:r>
        <w:fldChar w:fldCharType="begin"/>
      </w:r>
      <w:r>
        <w:instrText xml:space="preserve"> HYPERLINK \l _Toc25759 </w:instrText>
      </w:r>
      <w:r>
        <w:fldChar w:fldCharType="separate"/>
      </w:r>
      <w:r>
        <w:rPr>
          <w:rFonts w:hint="eastAsia" w:ascii="宋体" w:hAnsi="宋体" w:eastAsia="宋体" w:cs="宋体"/>
        </w:rPr>
        <w:t xml:space="preserve">第一章 </w:t>
      </w:r>
      <w:r>
        <w:rPr>
          <w:rFonts w:hint="eastAsia"/>
        </w:rPr>
        <w:t>竞争性磋商邀请公告</w:t>
      </w:r>
      <w:r>
        <w:tab/>
      </w:r>
      <w:r>
        <w:fldChar w:fldCharType="begin"/>
      </w:r>
      <w:r>
        <w:instrText xml:space="preserve"> PAGEREF _Toc25759 \h </w:instrText>
      </w:r>
      <w:r>
        <w:fldChar w:fldCharType="separate"/>
      </w:r>
      <w:r>
        <w:t>4</w:t>
      </w:r>
      <w:r>
        <w:fldChar w:fldCharType="end"/>
      </w:r>
      <w:r>
        <w:fldChar w:fldCharType="end"/>
      </w:r>
    </w:p>
    <w:p w14:paraId="5C9088B7">
      <w:pPr>
        <w:pStyle w:val="17"/>
        <w:tabs>
          <w:tab w:val="right" w:leader="dot" w:pos="8306"/>
          <w:tab w:val="clear" w:pos="0"/>
          <w:tab w:val="clear" w:pos="9746"/>
        </w:tabs>
      </w:pPr>
      <w:r>
        <w:fldChar w:fldCharType="begin"/>
      </w:r>
      <w:r>
        <w:instrText xml:space="preserve"> HYPERLINK \l _Toc10380 </w:instrText>
      </w:r>
      <w:r>
        <w:fldChar w:fldCharType="separate"/>
      </w:r>
      <w:r>
        <w:rPr>
          <w:rFonts w:hint="eastAsia" w:ascii="宋体" w:hAnsi="宋体" w:eastAsia="宋体" w:cs="宋体"/>
          <w:lang w:val="en-US" w:eastAsia="zh-CN"/>
        </w:rPr>
        <w:t xml:space="preserve">第二章 </w:t>
      </w:r>
      <w:r>
        <w:rPr>
          <w:rFonts w:hint="eastAsia" w:asciiTheme="minorEastAsia" w:hAnsiTheme="minorEastAsia" w:eastAsiaTheme="minorEastAsia" w:cstheme="minorEastAsia"/>
          <w:szCs w:val="36"/>
        </w:rPr>
        <w:t>磋商须知</w:t>
      </w:r>
      <w:r>
        <w:tab/>
      </w:r>
      <w:r>
        <w:fldChar w:fldCharType="begin"/>
      </w:r>
      <w:r>
        <w:instrText xml:space="preserve"> PAGEREF _Toc10380 \h </w:instrText>
      </w:r>
      <w:r>
        <w:fldChar w:fldCharType="separate"/>
      </w:r>
      <w:r>
        <w:t>8</w:t>
      </w:r>
      <w:r>
        <w:fldChar w:fldCharType="end"/>
      </w:r>
      <w:r>
        <w:fldChar w:fldCharType="end"/>
      </w:r>
    </w:p>
    <w:p w14:paraId="65285828">
      <w:pPr>
        <w:pStyle w:val="22"/>
        <w:tabs>
          <w:tab w:val="right" w:leader="dot" w:pos="8306"/>
          <w:tab w:val="clear" w:pos="0"/>
        </w:tabs>
      </w:pPr>
      <w:r>
        <w:fldChar w:fldCharType="begin"/>
      </w:r>
      <w:r>
        <w:instrText xml:space="preserve"> HYPERLINK \l _Toc6140 </w:instrText>
      </w:r>
      <w:r>
        <w:fldChar w:fldCharType="separate"/>
      </w:r>
      <w:r>
        <w:rPr>
          <w:rFonts w:hint="eastAsia" w:ascii="宋体" w:hAnsi="宋体" w:eastAsia="宋体" w:cs="宋体"/>
          <w:kern w:val="2"/>
          <w:szCs w:val="36"/>
          <w:lang w:val="en-US" w:eastAsia="zh-CN" w:bidi="ar-SA"/>
        </w:rPr>
        <w:t xml:space="preserve">一、 </w:t>
      </w:r>
      <w:r>
        <w:rPr>
          <w:rFonts w:hint="eastAsia" w:ascii="宋体" w:hAnsi="宋体" w:eastAsia="宋体" w:cstheme="minorBidi"/>
          <w:kern w:val="2"/>
          <w:szCs w:val="36"/>
          <w:lang w:val="en-US" w:eastAsia="zh-CN" w:bidi="ar-SA"/>
        </w:rPr>
        <w:t>磋商须知前附表</w:t>
      </w:r>
      <w:r>
        <w:tab/>
      </w:r>
      <w:r>
        <w:fldChar w:fldCharType="begin"/>
      </w:r>
      <w:r>
        <w:instrText xml:space="preserve"> PAGEREF _Toc6140 \h </w:instrText>
      </w:r>
      <w:r>
        <w:fldChar w:fldCharType="separate"/>
      </w:r>
      <w:r>
        <w:t>8</w:t>
      </w:r>
      <w:r>
        <w:fldChar w:fldCharType="end"/>
      </w:r>
      <w:r>
        <w:fldChar w:fldCharType="end"/>
      </w:r>
    </w:p>
    <w:p w14:paraId="1A1E2413">
      <w:pPr>
        <w:pStyle w:val="22"/>
        <w:tabs>
          <w:tab w:val="right" w:leader="dot" w:pos="8306"/>
          <w:tab w:val="clear" w:pos="0"/>
        </w:tabs>
      </w:pPr>
      <w:r>
        <w:fldChar w:fldCharType="begin"/>
      </w:r>
      <w:r>
        <w:instrText xml:space="preserve"> HYPERLINK \l _Toc27378 </w:instrText>
      </w:r>
      <w:r>
        <w:fldChar w:fldCharType="separate"/>
      </w:r>
      <w:r>
        <w:rPr>
          <w:rFonts w:hint="eastAsia" w:ascii="宋体" w:hAnsi="宋体" w:eastAsia="宋体" w:cs="宋体"/>
          <w:kern w:val="2"/>
          <w:szCs w:val="36"/>
          <w:lang w:val="en-US" w:eastAsia="zh-CN" w:bidi="ar-SA"/>
        </w:rPr>
        <w:t xml:space="preserve">二、 </w:t>
      </w:r>
      <w:r>
        <w:rPr>
          <w:rFonts w:hint="eastAsia" w:ascii="宋体" w:hAnsi="宋体" w:eastAsia="宋体" w:cstheme="minorBidi"/>
          <w:kern w:val="2"/>
          <w:szCs w:val="36"/>
          <w:lang w:val="en-US" w:eastAsia="zh-CN" w:bidi="ar-SA"/>
        </w:rPr>
        <w:t>总则</w:t>
      </w:r>
      <w:r>
        <w:tab/>
      </w:r>
      <w:r>
        <w:fldChar w:fldCharType="begin"/>
      </w:r>
      <w:r>
        <w:instrText xml:space="preserve"> PAGEREF _Toc27378 \h </w:instrText>
      </w:r>
      <w:r>
        <w:fldChar w:fldCharType="separate"/>
      </w:r>
      <w:r>
        <w:t>12</w:t>
      </w:r>
      <w:r>
        <w:fldChar w:fldCharType="end"/>
      </w:r>
      <w:r>
        <w:fldChar w:fldCharType="end"/>
      </w:r>
    </w:p>
    <w:p w14:paraId="54CBE4A1">
      <w:pPr>
        <w:pStyle w:val="22"/>
        <w:tabs>
          <w:tab w:val="right" w:leader="dot" w:pos="8306"/>
          <w:tab w:val="clear" w:pos="0"/>
        </w:tabs>
      </w:pPr>
      <w:r>
        <w:fldChar w:fldCharType="begin"/>
      </w:r>
      <w:r>
        <w:instrText xml:space="preserve"> HYPERLINK \l _Toc21865 </w:instrText>
      </w:r>
      <w:r>
        <w:fldChar w:fldCharType="separate"/>
      </w:r>
      <w:r>
        <w:rPr>
          <w:rFonts w:hint="eastAsia" w:ascii="宋体" w:hAnsi="宋体" w:eastAsia="宋体" w:cs="宋体"/>
          <w:kern w:val="2"/>
          <w:szCs w:val="36"/>
          <w:lang w:val="en-US" w:eastAsia="zh-CN" w:bidi="ar-SA"/>
        </w:rPr>
        <w:t xml:space="preserve">三、 </w:t>
      </w:r>
      <w:r>
        <w:rPr>
          <w:rFonts w:hint="eastAsia" w:ascii="宋体" w:hAnsi="宋体" w:eastAsia="宋体" w:cstheme="minorBidi"/>
          <w:kern w:val="2"/>
          <w:szCs w:val="36"/>
          <w:lang w:val="en-US" w:eastAsia="zh-CN" w:bidi="ar-SA"/>
        </w:rPr>
        <w:t>竞争性磋商文件</w:t>
      </w:r>
      <w:r>
        <w:tab/>
      </w:r>
      <w:r>
        <w:fldChar w:fldCharType="begin"/>
      </w:r>
      <w:r>
        <w:instrText xml:space="preserve"> PAGEREF _Toc21865 \h </w:instrText>
      </w:r>
      <w:r>
        <w:fldChar w:fldCharType="separate"/>
      </w:r>
      <w:r>
        <w:t>15</w:t>
      </w:r>
      <w:r>
        <w:fldChar w:fldCharType="end"/>
      </w:r>
      <w:r>
        <w:fldChar w:fldCharType="end"/>
      </w:r>
    </w:p>
    <w:p w14:paraId="03906B73">
      <w:pPr>
        <w:pStyle w:val="13"/>
        <w:tabs>
          <w:tab w:val="right" w:leader="dot" w:pos="8306"/>
          <w:tab w:val="clear" w:pos="0"/>
        </w:tabs>
      </w:pPr>
      <w:r>
        <w:fldChar w:fldCharType="begin"/>
      </w:r>
      <w:r>
        <w:instrText xml:space="preserve"> HYPERLINK \l _Toc22126 </w:instrText>
      </w:r>
      <w:r>
        <w:fldChar w:fldCharType="separate"/>
      </w:r>
      <w:r>
        <w:rPr>
          <w:rFonts w:hint="eastAsia" w:ascii="宋体" w:hAnsi="宋体" w:eastAsia="宋体" w:cs="宋体"/>
        </w:rPr>
        <w:t xml:space="preserve">(一) </w:t>
      </w:r>
      <w:r>
        <w:rPr>
          <w:rFonts w:hint="eastAsia"/>
        </w:rPr>
        <w:t>竞争性磋商</w:t>
      </w:r>
      <w:r>
        <w:rPr>
          <w:rFonts w:hint="eastAsia"/>
          <w:lang w:val="en-US" w:eastAsia="zh-CN"/>
        </w:rPr>
        <w:t>文件的构成(实质性要求)</w:t>
      </w:r>
      <w:r>
        <w:tab/>
      </w:r>
      <w:r>
        <w:fldChar w:fldCharType="begin"/>
      </w:r>
      <w:r>
        <w:instrText xml:space="preserve"> PAGEREF _Toc22126 \h </w:instrText>
      </w:r>
      <w:r>
        <w:fldChar w:fldCharType="separate"/>
      </w:r>
      <w:r>
        <w:t>15</w:t>
      </w:r>
      <w:r>
        <w:fldChar w:fldCharType="end"/>
      </w:r>
      <w:r>
        <w:fldChar w:fldCharType="end"/>
      </w:r>
    </w:p>
    <w:p w14:paraId="13D6865B">
      <w:pPr>
        <w:pStyle w:val="13"/>
        <w:tabs>
          <w:tab w:val="right" w:leader="dot" w:pos="8306"/>
          <w:tab w:val="clear" w:pos="0"/>
        </w:tabs>
      </w:pPr>
      <w:r>
        <w:fldChar w:fldCharType="begin"/>
      </w:r>
      <w:r>
        <w:instrText xml:space="preserve"> HYPERLINK \l _Toc4820 </w:instrText>
      </w:r>
      <w:r>
        <w:fldChar w:fldCharType="separate"/>
      </w:r>
      <w:r>
        <w:rPr>
          <w:rFonts w:hint="eastAsia" w:ascii="宋体" w:hAnsi="宋体" w:eastAsia="宋体" w:cs="宋体"/>
          <w:lang w:val="en-US" w:eastAsia="zh-CN"/>
        </w:rPr>
        <w:t xml:space="preserve">(二) </w:t>
      </w:r>
      <w:r>
        <w:rPr>
          <w:rFonts w:hint="eastAsia"/>
          <w:lang w:val="en-US" w:eastAsia="zh-CN"/>
        </w:rPr>
        <w:t>竞争性磋商文件包含内容</w:t>
      </w:r>
      <w:r>
        <w:tab/>
      </w:r>
      <w:r>
        <w:fldChar w:fldCharType="begin"/>
      </w:r>
      <w:r>
        <w:instrText xml:space="preserve"> PAGEREF _Toc4820 \h </w:instrText>
      </w:r>
      <w:r>
        <w:fldChar w:fldCharType="separate"/>
      </w:r>
      <w:r>
        <w:t>15</w:t>
      </w:r>
      <w:r>
        <w:fldChar w:fldCharType="end"/>
      </w:r>
      <w:r>
        <w:fldChar w:fldCharType="end"/>
      </w:r>
    </w:p>
    <w:p w14:paraId="57116039">
      <w:pPr>
        <w:pStyle w:val="13"/>
        <w:tabs>
          <w:tab w:val="right" w:leader="dot" w:pos="8306"/>
          <w:tab w:val="clear" w:pos="0"/>
        </w:tabs>
      </w:pPr>
      <w:r>
        <w:fldChar w:fldCharType="begin"/>
      </w:r>
      <w:r>
        <w:instrText xml:space="preserve"> HYPERLINK \l _Toc23854 </w:instrText>
      </w:r>
      <w:r>
        <w:fldChar w:fldCharType="separate"/>
      </w:r>
      <w:r>
        <w:rPr>
          <w:rFonts w:hint="eastAsia" w:ascii="宋体" w:hAnsi="宋体" w:eastAsia="宋体" w:cs="宋体"/>
        </w:rPr>
        <w:t xml:space="preserve">(三) </w:t>
      </w:r>
      <w:r>
        <w:rPr>
          <w:rFonts w:hint="eastAsia"/>
          <w:lang w:val="en-US" w:eastAsia="zh-CN"/>
        </w:rPr>
        <w:t>竞争性磋商</w:t>
      </w:r>
      <w:r>
        <w:rPr>
          <w:rFonts w:hint="eastAsia"/>
        </w:rPr>
        <w:t>文件的澄清和修改</w:t>
      </w:r>
      <w:r>
        <w:tab/>
      </w:r>
      <w:r>
        <w:fldChar w:fldCharType="begin"/>
      </w:r>
      <w:r>
        <w:instrText xml:space="preserve"> PAGEREF _Toc23854 \h </w:instrText>
      </w:r>
      <w:r>
        <w:fldChar w:fldCharType="separate"/>
      </w:r>
      <w:r>
        <w:t>16</w:t>
      </w:r>
      <w:r>
        <w:fldChar w:fldCharType="end"/>
      </w:r>
      <w:r>
        <w:fldChar w:fldCharType="end"/>
      </w:r>
    </w:p>
    <w:p w14:paraId="58E3F213">
      <w:pPr>
        <w:pStyle w:val="13"/>
        <w:tabs>
          <w:tab w:val="right" w:leader="dot" w:pos="8306"/>
          <w:tab w:val="clear" w:pos="0"/>
        </w:tabs>
      </w:pPr>
      <w:r>
        <w:fldChar w:fldCharType="begin"/>
      </w:r>
      <w:r>
        <w:instrText xml:space="preserve"> HYPERLINK \l _Toc1453 </w:instrText>
      </w:r>
      <w:r>
        <w:fldChar w:fldCharType="separate"/>
      </w:r>
      <w:r>
        <w:rPr>
          <w:rFonts w:hint="eastAsia" w:ascii="宋体" w:hAnsi="宋体" w:eastAsia="宋体" w:cs="宋体"/>
          <w:lang w:val="en-US" w:eastAsia="zh-CN"/>
        </w:rPr>
        <w:t xml:space="preserve">(四) </w:t>
      </w:r>
      <w:r>
        <w:rPr>
          <w:rFonts w:hint="eastAsia"/>
          <w:lang w:val="en-US" w:eastAsia="zh-CN"/>
        </w:rPr>
        <w:t>实质性变动</w:t>
      </w:r>
      <w:r>
        <w:tab/>
      </w:r>
      <w:r>
        <w:fldChar w:fldCharType="begin"/>
      </w:r>
      <w:r>
        <w:instrText xml:space="preserve"> PAGEREF _Toc1453 \h </w:instrText>
      </w:r>
      <w:r>
        <w:fldChar w:fldCharType="separate"/>
      </w:r>
      <w:r>
        <w:t>17</w:t>
      </w:r>
      <w:r>
        <w:fldChar w:fldCharType="end"/>
      </w:r>
      <w:r>
        <w:fldChar w:fldCharType="end"/>
      </w:r>
    </w:p>
    <w:p w14:paraId="157682B6">
      <w:pPr>
        <w:pStyle w:val="22"/>
        <w:tabs>
          <w:tab w:val="right" w:leader="dot" w:pos="8306"/>
          <w:tab w:val="clear" w:pos="0"/>
        </w:tabs>
      </w:pPr>
      <w:r>
        <w:fldChar w:fldCharType="begin"/>
      </w:r>
      <w:r>
        <w:instrText xml:space="preserve"> HYPERLINK \l _Toc8954 </w:instrText>
      </w:r>
      <w:r>
        <w:fldChar w:fldCharType="separate"/>
      </w:r>
      <w:r>
        <w:rPr>
          <w:rFonts w:hint="eastAsia" w:ascii="宋体" w:hAnsi="宋体" w:eastAsia="宋体" w:cs="宋体"/>
          <w:kern w:val="2"/>
          <w:szCs w:val="36"/>
          <w:lang w:val="en-US" w:eastAsia="zh-CN" w:bidi="ar-SA"/>
        </w:rPr>
        <w:t xml:space="preserve">四、 </w:t>
      </w:r>
      <w:r>
        <w:rPr>
          <w:rFonts w:hint="eastAsia" w:ascii="宋体" w:hAnsi="宋体" w:eastAsia="宋体" w:cstheme="minorBidi"/>
          <w:kern w:val="2"/>
          <w:szCs w:val="36"/>
          <w:lang w:val="en-US" w:eastAsia="zh-CN" w:bidi="ar-SA"/>
        </w:rPr>
        <w:t>响应文件</w:t>
      </w:r>
      <w:r>
        <w:tab/>
      </w:r>
      <w:r>
        <w:fldChar w:fldCharType="begin"/>
      </w:r>
      <w:r>
        <w:instrText xml:space="preserve"> PAGEREF _Toc8954 \h </w:instrText>
      </w:r>
      <w:r>
        <w:fldChar w:fldCharType="separate"/>
      </w:r>
      <w:r>
        <w:t>17</w:t>
      </w:r>
      <w:r>
        <w:fldChar w:fldCharType="end"/>
      </w:r>
      <w:r>
        <w:fldChar w:fldCharType="end"/>
      </w:r>
    </w:p>
    <w:p w14:paraId="30A81CFB">
      <w:pPr>
        <w:pStyle w:val="13"/>
        <w:tabs>
          <w:tab w:val="right" w:leader="dot" w:pos="8306"/>
          <w:tab w:val="clear" w:pos="0"/>
        </w:tabs>
      </w:pPr>
      <w:r>
        <w:fldChar w:fldCharType="begin"/>
      </w:r>
      <w:r>
        <w:instrText xml:space="preserve"> HYPERLINK \l _Toc15972 </w:instrText>
      </w:r>
      <w:r>
        <w:fldChar w:fldCharType="separate"/>
      </w:r>
      <w:r>
        <w:rPr>
          <w:rFonts w:hint="eastAsia" w:ascii="宋体" w:hAnsi="宋体" w:eastAsia="宋体" w:cs="宋体"/>
          <w:lang w:val="en-US" w:eastAsia="zh-CN"/>
        </w:rPr>
        <w:t xml:space="preserve">(一) </w:t>
      </w:r>
      <w:r>
        <w:rPr>
          <w:rFonts w:hint="eastAsia"/>
          <w:lang w:val="en-US" w:eastAsia="zh-CN"/>
        </w:rPr>
        <w:t>响应文件的语言(实质性要求)</w:t>
      </w:r>
      <w:r>
        <w:tab/>
      </w:r>
      <w:r>
        <w:fldChar w:fldCharType="begin"/>
      </w:r>
      <w:r>
        <w:instrText xml:space="preserve"> PAGEREF _Toc15972 \h </w:instrText>
      </w:r>
      <w:r>
        <w:fldChar w:fldCharType="separate"/>
      </w:r>
      <w:r>
        <w:t>17</w:t>
      </w:r>
      <w:r>
        <w:fldChar w:fldCharType="end"/>
      </w:r>
      <w:r>
        <w:fldChar w:fldCharType="end"/>
      </w:r>
    </w:p>
    <w:p w14:paraId="44039460">
      <w:pPr>
        <w:pStyle w:val="13"/>
        <w:tabs>
          <w:tab w:val="right" w:leader="dot" w:pos="8306"/>
          <w:tab w:val="clear" w:pos="0"/>
        </w:tabs>
      </w:pPr>
      <w:r>
        <w:fldChar w:fldCharType="begin"/>
      </w:r>
      <w:r>
        <w:instrText xml:space="preserve"> HYPERLINK \l _Toc11043 </w:instrText>
      </w:r>
      <w:r>
        <w:fldChar w:fldCharType="separate"/>
      </w:r>
      <w:r>
        <w:rPr>
          <w:rFonts w:hint="eastAsia" w:ascii="宋体" w:hAnsi="宋体" w:eastAsia="宋体" w:cs="宋体"/>
          <w:lang w:val="en-US" w:eastAsia="zh-CN"/>
        </w:rPr>
        <w:t xml:space="preserve">(二) </w:t>
      </w:r>
      <w:r>
        <w:rPr>
          <w:rFonts w:hint="eastAsia"/>
          <w:lang w:val="en-US" w:eastAsia="zh-CN"/>
        </w:rPr>
        <w:t>计量单位(实质性要求)</w:t>
      </w:r>
      <w:r>
        <w:tab/>
      </w:r>
      <w:r>
        <w:fldChar w:fldCharType="begin"/>
      </w:r>
      <w:r>
        <w:instrText xml:space="preserve"> PAGEREF _Toc11043 \h </w:instrText>
      </w:r>
      <w:r>
        <w:fldChar w:fldCharType="separate"/>
      </w:r>
      <w:r>
        <w:t>17</w:t>
      </w:r>
      <w:r>
        <w:fldChar w:fldCharType="end"/>
      </w:r>
      <w:r>
        <w:fldChar w:fldCharType="end"/>
      </w:r>
    </w:p>
    <w:p w14:paraId="7051919C">
      <w:pPr>
        <w:pStyle w:val="13"/>
        <w:tabs>
          <w:tab w:val="right" w:leader="dot" w:pos="8306"/>
          <w:tab w:val="clear" w:pos="0"/>
        </w:tabs>
      </w:pPr>
      <w:r>
        <w:fldChar w:fldCharType="begin"/>
      </w:r>
      <w:r>
        <w:instrText xml:space="preserve"> HYPERLINK \l _Toc7460 </w:instrText>
      </w:r>
      <w:r>
        <w:fldChar w:fldCharType="separate"/>
      </w:r>
      <w:r>
        <w:rPr>
          <w:rFonts w:hint="eastAsia" w:ascii="宋体" w:hAnsi="宋体" w:eastAsia="宋体" w:cs="宋体"/>
          <w:lang w:val="en-US" w:eastAsia="zh-CN"/>
        </w:rPr>
        <w:t xml:space="preserve">(三) </w:t>
      </w:r>
      <w:r>
        <w:rPr>
          <w:rFonts w:hint="eastAsia"/>
          <w:lang w:val="en-US" w:eastAsia="zh-CN"/>
        </w:rPr>
        <w:t>知识产权(实质性要求)</w:t>
      </w:r>
      <w:r>
        <w:tab/>
      </w:r>
      <w:r>
        <w:fldChar w:fldCharType="begin"/>
      </w:r>
      <w:r>
        <w:instrText xml:space="preserve"> PAGEREF _Toc7460 \h </w:instrText>
      </w:r>
      <w:r>
        <w:fldChar w:fldCharType="separate"/>
      </w:r>
      <w:r>
        <w:t>17</w:t>
      </w:r>
      <w:r>
        <w:fldChar w:fldCharType="end"/>
      </w:r>
      <w:r>
        <w:fldChar w:fldCharType="end"/>
      </w:r>
    </w:p>
    <w:p w14:paraId="64BA2D98">
      <w:pPr>
        <w:pStyle w:val="13"/>
        <w:tabs>
          <w:tab w:val="right" w:leader="dot" w:pos="8306"/>
          <w:tab w:val="clear" w:pos="0"/>
        </w:tabs>
      </w:pPr>
      <w:r>
        <w:fldChar w:fldCharType="begin"/>
      </w:r>
      <w:r>
        <w:instrText xml:space="preserve"> HYPERLINK \l _Toc32473 </w:instrText>
      </w:r>
      <w:r>
        <w:fldChar w:fldCharType="separate"/>
      </w:r>
      <w:r>
        <w:rPr>
          <w:rFonts w:hint="eastAsia" w:ascii="宋体" w:hAnsi="宋体" w:eastAsia="宋体" w:cs="宋体"/>
          <w:lang w:val="en-US" w:eastAsia="zh-CN"/>
        </w:rPr>
        <w:t xml:space="preserve">(四) </w:t>
      </w:r>
      <w:r>
        <w:rPr>
          <w:rFonts w:hint="eastAsia"/>
          <w:lang w:val="en-US" w:eastAsia="zh-CN"/>
        </w:rPr>
        <w:t>响应文件格式要求</w:t>
      </w:r>
      <w:r>
        <w:tab/>
      </w:r>
      <w:r>
        <w:fldChar w:fldCharType="begin"/>
      </w:r>
      <w:r>
        <w:instrText xml:space="preserve"> PAGEREF _Toc32473 \h </w:instrText>
      </w:r>
      <w:r>
        <w:fldChar w:fldCharType="separate"/>
      </w:r>
      <w:r>
        <w:t>18</w:t>
      </w:r>
      <w:r>
        <w:fldChar w:fldCharType="end"/>
      </w:r>
      <w:r>
        <w:fldChar w:fldCharType="end"/>
      </w:r>
    </w:p>
    <w:p w14:paraId="655BE5C8">
      <w:pPr>
        <w:pStyle w:val="13"/>
        <w:tabs>
          <w:tab w:val="right" w:leader="dot" w:pos="8306"/>
          <w:tab w:val="clear" w:pos="0"/>
        </w:tabs>
      </w:pPr>
      <w:r>
        <w:fldChar w:fldCharType="begin"/>
      </w:r>
      <w:r>
        <w:instrText xml:space="preserve"> HYPERLINK \l _Toc20801 </w:instrText>
      </w:r>
      <w:r>
        <w:fldChar w:fldCharType="separate"/>
      </w:r>
      <w:r>
        <w:rPr>
          <w:rFonts w:hint="eastAsia" w:ascii="宋体" w:hAnsi="宋体" w:eastAsia="宋体" w:cs="宋体"/>
          <w:lang w:val="en-US" w:eastAsia="zh-CN"/>
        </w:rPr>
        <w:t xml:space="preserve">(五) </w:t>
      </w:r>
      <w:r>
        <w:rPr>
          <w:rFonts w:hint="eastAsia"/>
          <w:lang w:val="en-US" w:eastAsia="zh-CN"/>
        </w:rPr>
        <w:t>联合体磋商</w:t>
      </w:r>
      <w:r>
        <w:rPr>
          <w:rFonts w:hint="eastAsia"/>
          <w:lang w:val="zh-CN" w:eastAsia="zh-CN"/>
        </w:rPr>
        <w:t>(实质性要求)</w:t>
      </w:r>
      <w:r>
        <w:tab/>
      </w:r>
      <w:r>
        <w:fldChar w:fldCharType="begin"/>
      </w:r>
      <w:r>
        <w:instrText xml:space="preserve"> PAGEREF _Toc20801 \h </w:instrText>
      </w:r>
      <w:r>
        <w:fldChar w:fldCharType="separate"/>
      </w:r>
      <w:r>
        <w:t>18</w:t>
      </w:r>
      <w:r>
        <w:fldChar w:fldCharType="end"/>
      </w:r>
      <w:r>
        <w:fldChar w:fldCharType="end"/>
      </w:r>
    </w:p>
    <w:p w14:paraId="5484E578">
      <w:pPr>
        <w:pStyle w:val="13"/>
        <w:tabs>
          <w:tab w:val="right" w:leader="dot" w:pos="8306"/>
          <w:tab w:val="clear" w:pos="0"/>
        </w:tabs>
      </w:pPr>
      <w:r>
        <w:fldChar w:fldCharType="begin"/>
      </w:r>
      <w:r>
        <w:instrText xml:space="preserve"> HYPERLINK \l _Toc22368 </w:instrText>
      </w:r>
      <w:r>
        <w:fldChar w:fldCharType="separate"/>
      </w:r>
      <w:r>
        <w:rPr>
          <w:rFonts w:hint="eastAsia" w:ascii="宋体" w:hAnsi="宋体" w:eastAsia="宋体" w:cs="宋体"/>
        </w:rPr>
        <w:t xml:space="preserve">(六) </w:t>
      </w:r>
      <w:r>
        <w:rPr>
          <w:rFonts w:hint="eastAsia"/>
        </w:rPr>
        <w:t>响应</w:t>
      </w:r>
      <w:r>
        <w:rPr>
          <w:rFonts w:hint="eastAsia"/>
          <w:lang w:val="en-US" w:eastAsia="zh-CN"/>
        </w:rPr>
        <w:t>文件组成</w:t>
      </w:r>
      <w:r>
        <w:rPr>
          <w:rFonts w:hint="eastAsia"/>
          <w:lang w:eastAsia="zh-CN"/>
        </w:rPr>
        <w:t>(</w:t>
      </w:r>
      <w:r>
        <w:rPr>
          <w:rFonts w:hint="eastAsia"/>
          <w:lang w:val="en-US" w:eastAsia="zh-CN"/>
        </w:rPr>
        <w:t>实质性要求</w:t>
      </w:r>
      <w:r>
        <w:rPr>
          <w:rFonts w:hint="eastAsia"/>
          <w:lang w:eastAsia="zh-CN"/>
        </w:rPr>
        <w:t>)</w:t>
      </w:r>
      <w:r>
        <w:tab/>
      </w:r>
      <w:r>
        <w:fldChar w:fldCharType="begin"/>
      </w:r>
      <w:r>
        <w:instrText xml:space="preserve"> PAGEREF _Toc22368 \h </w:instrText>
      </w:r>
      <w:r>
        <w:fldChar w:fldCharType="separate"/>
      </w:r>
      <w:r>
        <w:t>18</w:t>
      </w:r>
      <w:r>
        <w:fldChar w:fldCharType="end"/>
      </w:r>
      <w:r>
        <w:fldChar w:fldCharType="end"/>
      </w:r>
    </w:p>
    <w:p w14:paraId="021AAEB8">
      <w:pPr>
        <w:pStyle w:val="13"/>
        <w:tabs>
          <w:tab w:val="right" w:leader="dot" w:pos="8306"/>
          <w:tab w:val="clear" w:pos="0"/>
        </w:tabs>
      </w:pPr>
      <w:r>
        <w:fldChar w:fldCharType="begin"/>
      </w:r>
      <w:r>
        <w:instrText xml:space="preserve"> HYPERLINK \l _Toc24876 </w:instrText>
      </w:r>
      <w:r>
        <w:fldChar w:fldCharType="separate"/>
      </w:r>
      <w:r>
        <w:rPr>
          <w:rFonts w:hint="eastAsia" w:ascii="宋体" w:hAnsi="宋体" w:eastAsia="宋体" w:cs="宋体"/>
        </w:rPr>
        <w:t xml:space="preserve">(七) </w:t>
      </w:r>
      <w:r>
        <w:rPr>
          <w:rFonts w:hint="eastAsia"/>
          <w:lang w:val="en-US" w:eastAsia="zh-CN"/>
        </w:rPr>
        <w:t>报</w:t>
      </w:r>
      <w:r>
        <w:rPr>
          <w:rFonts w:hint="eastAsia"/>
        </w:rPr>
        <w:t>价</w:t>
      </w:r>
      <w:r>
        <w:rPr>
          <w:rFonts w:hint="eastAsia"/>
          <w:lang w:val="en-US" w:eastAsia="zh-CN"/>
        </w:rPr>
        <w:t>要求</w:t>
      </w:r>
      <w:r>
        <w:rPr>
          <w:rFonts w:hint="eastAsia"/>
          <w:lang w:eastAsia="zh-CN"/>
        </w:rPr>
        <w:t>(</w:t>
      </w:r>
      <w:r>
        <w:rPr>
          <w:rFonts w:hint="eastAsia"/>
          <w:lang w:val="en-US" w:eastAsia="zh-CN"/>
        </w:rPr>
        <w:t>实质性要求</w:t>
      </w:r>
      <w:r>
        <w:rPr>
          <w:rFonts w:hint="eastAsia"/>
          <w:lang w:eastAsia="zh-CN"/>
        </w:rPr>
        <w:t>)</w:t>
      </w:r>
      <w:r>
        <w:tab/>
      </w:r>
      <w:r>
        <w:fldChar w:fldCharType="begin"/>
      </w:r>
      <w:r>
        <w:instrText xml:space="preserve"> PAGEREF _Toc24876 \h </w:instrText>
      </w:r>
      <w:r>
        <w:fldChar w:fldCharType="separate"/>
      </w:r>
      <w:r>
        <w:t>19</w:t>
      </w:r>
      <w:r>
        <w:fldChar w:fldCharType="end"/>
      </w:r>
      <w:r>
        <w:fldChar w:fldCharType="end"/>
      </w:r>
    </w:p>
    <w:p w14:paraId="4D1C2DFF">
      <w:pPr>
        <w:pStyle w:val="13"/>
        <w:tabs>
          <w:tab w:val="right" w:leader="dot" w:pos="8306"/>
          <w:tab w:val="clear" w:pos="0"/>
        </w:tabs>
      </w:pPr>
      <w:r>
        <w:fldChar w:fldCharType="begin"/>
      </w:r>
      <w:r>
        <w:instrText xml:space="preserve"> HYPERLINK \l _Toc29370 </w:instrText>
      </w:r>
      <w:r>
        <w:fldChar w:fldCharType="separate"/>
      </w:r>
      <w:r>
        <w:rPr>
          <w:rFonts w:hint="eastAsia" w:ascii="宋体" w:hAnsi="宋体" w:eastAsia="宋体" w:cs="宋体"/>
          <w:lang w:val="en-US" w:eastAsia="zh-CN"/>
        </w:rPr>
        <w:t xml:space="preserve">(八) </w:t>
      </w:r>
      <w:r>
        <w:rPr>
          <w:rFonts w:hint="eastAsia"/>
          <w:lang w:val="en-US" w:eastAsia="zh-CN"/>
        </w:rPr>
        <w:t>响应文件编制要求</w:t>
      </w:r>
      <w:r>
        <w:tab/>
      </w:r>
      <w:r>
        <w:fldChar w:fldCharType="begin"/>
      </w:r>
      <w:r>
        <w:instrText xml:space="preserve"> PAGEREF _Toc29370 \h </w:instrText>
      </w:r>
      <w:r>
        <w:fldChar w:fldCharType="separate"/>
      </w:r>
      <w:r>
        <w:t>19</w:t>
      </w:r>
      <w:r>
        <w:fldChar w:fldCharType="end"/>
      </w:r>
      <w:r>
        <w:fldChar w:fldCharType="end"/>
      </w:r>
    </w:p>
    <w:p w14:paraId="38BDA677">
      <w:pPr>
        <w:pStyle w:val="13"/>
        <w:tabs>
          <w:tab w:val="right" w:leader="dot" w:pos="8306"/>
          <w:tab w:val="clear" w:pos="0"/>
        </w:tabs>
      </w:pPr>
      <w:r>
        <w:fldChar w:fldCharType="begin"/>
      </w:r>
      <w:r>
        <w:instrText xml:space="preserve"> HYPERLINK \l _Toc26347 </w:instrText>
      </w:r>
      <w:r>
        <w:fldChar w:fldCharType="separate"/>
      </w:r>
      <w:r>
        <w:rPr>
          <w:rFonts w:hint="eastAsia" w:ascii="宋体" w:hAnsi="宋体" w:eastAsia="宋体" w:cs="宋体"/>
          <w:lang w:val="en-US" w:eastAsia="zh-CN"/>
        </w:rPr>
        <w:t xml:space="preserve">(九) </w:t>
      </w:r>
      <w:r>
        <w:rPr>
          <w:rFonts w:hint="eastAsia"/>
          <w:lang w:val="en-US" w:eastAsia="zh-CN"/>
        </w:rPr>
        <w:t>响应文件的密封和标注</w:t>
      </w:r>
      <w:r>
        <w:tab/>
      </w:r>
      <w:r>
        <w:fldChar w:fldCharType="begin"/>
      </w:r>
      <w:r>
        <w:instrText xml:space="preserve"> PAGEREF _Toc26347 \h </w:instrText>
      </w:r>
      <w:r>
        <w:fldChar w:fldCharType="separate"/>
      </w:r>
      <w:r>
        <w:t>20</w:t>
      </w:r>
      <w:r>
        <w:fldChar w:fldCharType="end"/>
      </w:r>
      <w:r>
        <w:fldChar w:fldCharType="end"/>
      </w:r>
    </w:p>
    <w:p w14:paraId="75BD2AE6">
      <w:pPr>
        <w:pStyle w:val="13"/>
        <w:tabs>
          <w:tab w:val="right" w:leader="dot" w:pos="8306"/>
          <w:tab w:val="clear" w:pos="0"/>
        </w:tabs>
      </w:pPr>
      <w:r>
        <w:fldChar w:fldCharType="begin"/>
      </w:r>
      <w:r>
        <w:instrText xml:space="preserve"> HYPERLINK \l _Toc11960 </w:instrText>
      </w:r>
      <w:r>
        <w:fldChar w:fldCharType="separate"/>
      </w:r>
      <w:r>
        <w:rPr>
          <w:rFonts w:hint="eastAsia" w:ascii="宋体" w:hAnsi="宋体" w:eastAsia="宋体" w:cs="宋体"/>
          <w:lang w:val="en-US" w:eastAsia="zh-CN"/>
        </w:rPr>
        <w:t xml:space="preserve">(十) </w:t>
      </w:r>
      <w:r>
        <w:rPr>
          <w:rFonts w:hint="eastAsia"/>
          <w:lang w:val="en-US" w:eastAsia="zh-CN"/>
        </w:rPr>
        <w:t>响应文件的递交</w:t>
      </w:r>
      <w:r>
        <w:tab/>
      </w:r>
      <w:r>
        <w:fldChar w:fldCharType="begin"/>
      </w:r>
      <w:r>
        <w:instrText xml:space="preserve"> PAGEREF _Toc11960 \h </w:instrText>
      </w:r>
      <w:r>
        <w:fldChar w:fldCharType="separate"/>
      </w:r>
      <w:r>
        <w:t>21</w:t>
      </w:r>
      <w:r>
        <w:fldChar w:fldCharType="end"/>
      </w:r>
      <w:r>
        <w:fldChar w:fldCharType="end"/>
      </w:r>
    </w:p>
    <w:p w14:paraId="3BF27D7C">
      <w:pPr>
        <w:pStyle w:val="13"/>
        <w:tabs>
          <w:tab w:val="right" w:leader="dot" w:pos="8306"/>
          <w:tab w:val="clear" w:pos="0"/>
        </w:tabs>
      </w:pPr>
      <w:r>
        <w:fldChar w:fldCharType="begin"/>
      </w:r>
      <w:r>
        <w:instrText xml:space="preserve"> HYPERLINK \l _Toc19811 </w:instrText>
      </w:r>
      <w:r>
        <w:fldChar w:fldCharType="separate"/>
      </w:r>
      <w:r>
        <w:rPr>
          <w:rFonts w:hint="eastAsia" w:ascii="宋体" w:hAnsi="宋体" w:eastAsia="宋体" w:cs="宋体"/>
          <w:lang w:val="en-US" w:eastAsia="zh-CN"/>
        </w:rPr>
        <w:t xml:space="preserve">(十一) </w:t>
      </w:r>
      <w:r>
        <w:rPr>
          <w:rFonts w:hint="eastAsia"/>
          <w:lang w:val="en-US" w:eastAsia="zh-CN"/>
        </w:rPr>
        <w:t>响应文件的修改和撤回</w:t>
      </w:r>
      <w:r>
        <w:tab/>
      </w:r>
      <w:r>
        <w:fldChar w:fldCharType="begin"/>
      </w:r>
      <w:r>
        <w:instrText xml:space="preserve"> PAGEREF _Toc19811 \h </w:instrText>
      </w:r>
      <w:r>
        <w:fldChar w:fldCharType="separate"/>
      </w:r>
      <w:r>
        <w:t>21</w:t>
      </w:r>
      <w:r>
        <w:fldChar w:fldCharType="end"/>
      </w:r>
      <w:r>
        <w:fldChar w:fldCharType="end"/>
      </w:r>
    </w:p>
    <w:p w14:paraId="69EE4A9B">
      <w:pPr>
        <w:pStyle w:val="22"/>
        <w:tabs>
          <w:tab w:val="right" w:leader="dot" w:pos="8306"/>
          <w:tab w:val="clear" w:pos="0"/>
        </w:tabs>
      </w:pPr>
      <w:r>
        <w:fldChar w:fldCharType="begin"/>
      </w:r>
      <w:r>
        <w:instrText xml:space="preserve"> HYPERLINK \l _Toc9626 </w:instrText>
      </w:r>
      <w:r>
        <w:fldChar w:fldCharType="separate"/>
      </w:r>
      <w:r>
        <w:rPr>
          <w:rFonts w:hint="eastAsia" w:ascii="宋体" w:hAnsi="宋体" w:eastAsia="宋体" w:cs="宋体"/>
          <w:kern w:val="2"/>
          <w:szCs w:val="36"/>
          <w:lang w:val="en-US" w:eastAsia="zh-CN" w:bidi="ar-SA"/>
        </w:rPr>
        <w:t xml:space="preserve">五、 </w:t>
      </w:r>
      <w:r>
        <w:rPr>
          <w:rFonts w:hint="eastAsia" w:ascii="宋体" w:hAnsi="宋体" w:eastAsia="宋体" w:cstheme="minorBidi"/>
          <w:kern w:val="2"/>
          <w:szCs w:val="36"/>
          <w:lang w:val="en-US" w:eastAsia="zh-CN" w:bidi="ar-SA"/>
        </w:rPr>
        <w:t>磋商会</w:t>
      </w:r>
      <w:r>
        <w:tab/>
      </w:r>
      <w:r>
        <w:fldChar w:fldCharType="begin"/>
      </w:r>
      <w:r>
        <w:instrText xml:space="preserve"> PAGEREF _Toc9626 \h </w:instrText>
      </w:r>
      <w:r>
        <w:fldChar w:fldCharType="separate"/>
      </w:r>
      <w:r>
        <w:t>22</w:t>
      </w:r>
      <w:r>
        <w:fldChar w:fldCharType="end"/>
      </w:r>
      <w:r>
        <w:fldChar w:fldCharType="end"/>
      </w:r>
    </w:p>
    <w:p w14:paraId="33F1BC89">
      <w:pPr>
        <w:pStyle w:val="13"/>
        <w:tabs>
          <w:tab w:val="right" w:leader="dot" w:pos="8306"/>
          <w:tab w:val="clear" w:pos="0"/>
        </w:tabs>
      </w:pPr>
      <w:r>
        <w:fldChar w:fldCharType="begin"/>
      </w:r>
      <w:r>
        <w:instrText xml:space="preserve"> HYPERLINK \l _Toc32000 </w:instrText>
      </w:r>
      <w:r>
        <w:fldChar w:fldCharType="separate"/>
      </w:r>
      <w:r>
        <w:rPr>
          <w:rFonts w:hint="eastAsia" w:ascii="宋体" w:hAnsi="宋体" w:eastAsia="宋体" w:cs="宋体"/>
          <w:bCs/>
          <w:lang w:val="en-US" w:eastAsia="zh-CN"/>
        </w:rPr>
        <w:t xml:space="preserve">(一) </w:t>
      </w:r>
      <w:r>
        <w:rPr>
          <w:rFonts w:hint="eastAsia"/>
          <w:bCs/>
          <w:lang w:val="en-US" w:eastAsia="zh-CN"/>
        </w:rPr>
        <w:t>磋商会人员</w:t>
      </w:r>
      <w:r>
        <w:tab/>
      </w:r>
      <w:r>
        <w:fldChar w:fldCharType="begin"/>
      </w:r>
      <w:r>
        <w:instrText xml:space="preserve"> PAGEREF _Toc32000 \h </w:instrText>
      </w:r>
      <w:r>
        <w:fldChar w:fldCharType="separate"/>
      </w:r>
      <w:r>
        <w:t>22</w:t>
      </w:r>
      <w:r>
        <w:fldChar w:fldCharType="end"/>
      </w:r>
      <w:r>
        <w:fldChar w:fldCharType="end"/>
      </w:r>
    </w:p>
    <w:p w14:paraId="29007FD2">
      <w:pPr>
        <w:pStyle w:val="13"/>
        <w:tabs>
          <w:tab w:val="right" w:leader="dot" w:pos="8306"/>
          <w:tab w:val="clear" w:pos="0"/>
        </w:tabs>
      </w:pPr>
      <w:r>
        <w:fldChar w:fldCharType="begin"/>
      </w:r>
      <w:r>
        <w:instrText xml:space="preserve"> HYPERLINK \l _Toc8353 </w:instrText>
      </w:r>
      <w:r>
        <w:fldChar w:fldCharType="separate"/>
      </w:r>
      <w:r>
        <w:rPr>
          <w:rFonts w:hint="eastAsia" w:ascii="宋体" w:hAnsi="宋体" w:eastAsia="宋体" w:cs="宋体"/>
          <w:bCs/>
          <w:lang w:val="en-US" w:eastAsia="zh-CN"/>
        </w:rPr>
        <w:t xml:space="preserve">(二) </w:t>
      </w:r>
      <w:r>
        <w:rPr>
          <w:rFonts w:hint="eastAsia"/>
          <w:bCs/>
          <w:lang w:val="en-US" w:eastAsia="zh-CN"/>
        </w:rPr>
        <w:t>磋商会内容</w:t>
      </w:r>
      <w:r>
        <w:tab/>
      </w:r>
      <w:r>
        <w:fldChar w:fldCharType="begin"/>
      </w:r>
      <w:r>
        <w:instrText xml:space="preserve"> PAGEREF _Toc8353 \h </w:instrText>
      </w:r>
      <w:r>
        <w:fldChar w:fldCharType="separate"/>
      </w:r>
      <w:r>
        <w:t>22</w:t>
      </w:r>
      <w:r>
        <w:fldChar w:fldCharType="end"/>
      </w:r>
      <w:r>
        <w:fldChar w:fldCharType="end"/>
      </w:r>
    </w:p>
    <w:p w14:paraId="6673DFD2">
      <w:pPr>
        <w:pStyle w:val="13"/>
        <w:tabs>
          <w:tab w:val="right" w:leader="dot" w:pos="8306"/>
          <w:tab w:val="clear" w:pos="0"/>
        </w:tabs>
      </w:pPr>
      <w:r>
        <w:fldChar w:fldCharType="begin"/>
      </w:r>
      <w:r>
        <w:instrText xml:space="preserve"> HYPERLINK \l _Toc6773 </w:instrText>
      </w:r>
      <w:r>
        <w:fldChar w:fldCharType="separate"/>
      </w:r>
      <w:r>
        <w:rPr>
          <w:rFonts w:hint="eastAsia" w:ascii="宋体" w:hAnsi="宋体" w:eastAsia="宋体" w:cs="宋体"/>
          <w:bCs/>
          <w:lang w:val="en-US" w:eastAsia="zh-CN"/>
        </w:rPr>
        <w:t xml:space="preserve">(三) </w:t>
      </w:r>
      <w:r>
        <w:rPr>
          <w:rFonts w:hint="eastAsia"/>
          <w:bCs/>
          <w:lang w:val="en-US" w:eastAsia="zh-CN"/>
        </w:rPr>
        <w:t>电子监控档案</w:t>
      </w:r>
      <w:r>
        <w:tab/>
      </w:r>
      <w:r>
        <w:fldChar w:fldCharType="begin"/>
      </w:r>
      <w:r>
        <w:instrText xml:space="preserve"> PAGEREF _Toc6773 \h </w:instrText>
      </w:r>
      <w:r>
        <w:fldChar w:fldCharType="separate"/>
      </w:r>
      <w:r>
        <w:t>22</w:t>
      </w:r>
      <w:r>
        <w:fldChar w:fldCharType="end"/>
      </w:r>
      <w:r>
        <w:fldChar w:fldCharType="end"/>
      </w:r>
    </w:p>
    <w:p w14:paraId="220501DF">
      <w:pPr>
        <w:pStyle w:val="22"/>
        <w:tabs>
          <w:tab w:val="right" w:leader="dot" w:pos="8306"/>
          <w:tab w:val="clear" w:pos="0"/>
        </w:tabs>
      </w:pPr>
      <w:r>
        <w:fldChar w:fldCharType="begin"/>
      </w:r>
      <w:r>
        <w:instrText xml:space="preserve"> HYPERLINK \l _Toc6210 </w:instrText>
      </w:r>
      <w:r>
        <w:fldChar w:fldCharType="separate"/>
      </w:r>
      <w:r>
        <w:rPr>
          <w:rFonts w:hint="eastAsia" w:ascii="宋体" w:hAnsi="宋体" w:eastAsia="宋体" w:cs="宋体"/>
          <w:kern w:val="2"/>
          <w:szCs w:val="36"/>
          <w:lang w:val="en-US" w:eastAsia="zh-CN" w:bidi="ar-SA"/>
        </w:rPr>
        <w:t xml:space="preserve">六、 </w:t>
      </w:r>
      <w:r>
        <w:rPr>
          <w:rFonts w:hint="eastAsia" w:ascii="宋体" w:hAnsi="宋体" w:eastAsia="宋体" w:cstheme="minorBidi"/>
          <w:kern w:val="2"/>
          <w:szCs w:val="36"/>
          <w:lang w:val="en-US" w:eastAsia="zh-CN" w:bidi="ar-SA"/>
        </w:rPr>
        <w:t>成交事项</w:t>
      </w:r>
      <w:r>
        <w:tab/>
      </w:r>
      <w:r>
        <w:fldChar w:fldCharType="begin"/>
      </w:r>
      <w:r>
        <w:instrText xml:space="preserve"> PAGEREF _Toc6210 \h </w:instrText>
      </w:r>
      <w:r>
        <w:fldChar w:fldCharType="separate"/>
      </w:r>
      <w:r>
        <w:t>23</w:t>
      </w:r>
      <w:r>
        <w:fldChar w:fldCharType="end"/>
      </w:r>
      <w:r>
        <w:fldChar w:fldCharType="end"/>
      </w:r>
    </w:p>
    <w:p w14:paraId="10EEA455">
      <w:pPr>
        <w:pStyle w:val="13"/>
        <w:tabs>
          <w:tab w:val="right" w:leader="dot" w:pos="8306"/>
          <w:tab w:val="clear" w:pos="0"/>
        </w:tabs>
      </w:pPr>
      <w:r>
        <w:fldChar w:fldCharType="begin"/>
      </w:r>
      <w:r>
        <w:instrText xml:space="preserve"> HYPERLINK \l _Toc20655 </w:instrText>
      </w:r>
      <w:r>
        <w:fldChar w:fldCharType="separate"/>
      </w:r>
      <w:r>
        <w:rPr>
          <w:rFonts w:hint="eastAsia" w:ascii="宋体" w:hAnsi="宋体" w:eastAsia="宋体" w:cs="宋体"/>
        </w:rPr>
        <w:t xml:space="preserve">(一) </w:t>
      </w:r>
      <w:r>
        <w:rPr>
          <w:rFonts w:hint="eastAsia"/>
        </w:rPr>
        <w:t>确定成交</w:t>
      </w:r>
      <w:r>
        <w:rPr>
          <w:rFonts w:hint="eastAsia"/>
          <w:lang w:val="en-US" w:eastAsia="zh-CN"/>
        </w:rPr>
        <w:t>供应商</w:t>
      </w:r>
      <w:r>
        <w:tab/>
      </w:r>
      <w:r>
        <w:fldChar w:fldCharType="begin"/>
      </w:r>
      <w:r>
        <w:instrText xml:space="preserve"> PAGEREF _Toc20655 \h </w:instrText>
      </w:r>
      <w:r>
        <w:fldChar w:fldCharType="separate"/>
      </w:r>
      <w:r>
        <w:t>23</w:t>
      </w:r>
      <w:r>
        <w:fldChar w:fldCharType="end"/>
      </w:r>
      <w:r>
        <w:fldChar w:fldCharType="end"/>
      </w:r>
    </w:p>
    <w:p w14:paraId="0B61D0DD">
      <w:pPr>
        <w:pStyle w:val="13"/>
        <w:tabs>
          <w:tab w:val="right" w:leader="dot" w:pos="8306"/>
          <w:tab w:val="clear" w:pos="0"/>
        </w:tabs>
      </w:pPr>
      <w:r>
        <w:fldChar w:fldCharType="begin"/>
      </w:r>
      <w:r>
        <w:instrText xml:space="preserve"> HYPERLINK \l _Toc30426 </w:instrText>
      </w:r>
      <w:r>
        <w:fldChar w:fldCharType="separate"/>
      </w:r>
      <w:r>
        <w:rPr>
          <w:rFonts w:hint="eastAsia" w:ascii="宋体" w:hAnsi="宋体" w:eastAsia="宋体" w:cs="宋体"/>
        </w:rPr>
        <w:t xml:space="preserve">(二) </w:t>
      </w:r>
      <w:r>
        <w:rPr>
          <w:rFonts w:hint="eastAsia"/>
        </w:rPr>
        <w:t>成交</w:t>
      </w:r>
      <w:r>
        <w:rPr>
          <w:rFonts w:hint="eastAsia"/>
          <w:lang w:val="en-US" w:eastAsia="zh-CN"/>
        </w:rPr>
        <w:t>结果</w:t>
      </w:r>
      <w:r>
        <w:tab/>
      </w:r>
      <w:r>
        <w:fldChar w:fldCharType="begin"/>
      </w:r>
      <w:r>
        <w:instrText xml:space="preserve"> PAGEREF _Toc30426 \h </w:instrText>
      </w:r>
      <w:r>
        <w:fldChar w:fldCharType="separate"/>
      </w:r>
      <w:r>
        <w:t>24</w:t>
      </w:r>
      <w:r>
        <w:fldChar w:fldCharType="end"/>
      </w:r>
      <w:r>
        <w:fldChar w:fldCharType="end"/>
      </w:r>
    </w:p>
    <w:p w14:paraId="3ED71A82">
      <w:pPr>
        <w:pStyle w:val="13"/>
        <w:tabs>
          <w:tab w:val="right" w:leader="dot" w:pos="8306"/>
          <w:tab w:val="clear" w:pos="0"/>
        </w:tabs>
      </w:pPr>
      <w:r>
        <w:fldChar w:fldCharType="begin"/>
      </w:r>
      <w:r>
        <w:instrText xml:space="preserve"> HYPERLINK \l _Toc10034 </w:instrText>
      </w:r>
      <w:r>
        <w:fldChar w:fldCharType="separate"/>
      </w:r>
      <w:r>
        <w:rPr>
          <w:rFonts w:hint="eastAsia" w:ascii="宋体" w:hAnsi="宋体" w:eastAsia="宋体" w:cs="宋体"/>
        </w:rPr>
        <w:t xml:space="preserve">(三) </w:t>
      </w:r>
      <w:r>
        <w:rPr>
          <w:rFonts w:hint="eastAsia" w:ascii="宋体" w:hAnsi="宋体" w:eastAsia="宋体"/>
          <w:lang w:val="en-US" w:eastAsia="zh-CN"/>
        </w:rPr>
        <w:t>成交</w:t>
      </w:r>
      <w:r>
        <w:rPr>
          <w:rFonts w:hint="eastAsia" w:ascii="宋体" w:hAnsi="宋体" w:eastAsia="宋体"/>
        </w:rPr>
        <w:t>通知书</w:t>
      </w:r>
      <w:r>
        <w:tab/>
      </w:r>
      <w:r>
        <w:fldChar w:fldCharType="begin"/>
      </w:r>
      <w:r>
        <w:instrText xml:space="preserve"> PAGEREF _Toc10034 \h </w:instrText>
      </w:r>
      <w:r>
        <w:fldChar w:fldCharType="separate"/>
      </w:r>
      <w:r>
        <w:t>24</w:t>
      </w:r>
      <w:r>
        <w:fldChar w:fldCharType="end"/>
      </w:r>
      <w:r>
        <w:fldChar w:fldCharType="end"/>
      </w:r>
    </w:p>
    <w:p w14:paraId="092129E4">
      <w:pPr>
        <w:pStyle w:val="22"/>
        <w:tabs>
          <w:tab w:val="right" w:leader="dot" w:pos="8306"/>
          <w:tab w:val="clear" w:pos="0"/>
        </w:tabs>
      </w:pPr>
      <w:r>
        <w:fldChar w:fldCharType="begin"/>
      </w:r>
      <w:r>
        <w:instrText xml:space="preserve"> HYPERLINK \l _Toc14865 </w:instrText>
      </w:r>
      <w:r>
        <w:fldChar w:fldCharType="separate"/>
      </w:r>
      <w:r>
        <w:rPr>
          <w:rFonts w:hint="eastAsia" w:ascii="宋体" w:hAnsi="宋体" w:eastAsia="宋体" w:cs="宋体"/>
          <w:kern w:val="2"/>
          <w:szCs w:val="36"/>
          <w:lang w:val="en-US" w:eastAsia="zh-CN" w:bidi="ar-SA"/>
        </w:rPr>
        <w:t xml:space="preserve">七、 </w:t>
      </w:r>
      <w:r>
        <w:rPr>
          <w:rFonts w:hint="eastAsia" w:ascii="宋体" w:hAnsi="宋体" w:eastAsia="宋体" w:cstheme="minorBidi"/>
          <w:kern w:val="2"/>
          <w:szCs w:val="36"/>
          <w:lang w:val="en-US" w:eastAsia="zh-CN" w:bidi="ar-SA"/>
        </w:rPr>
        <w:t>合同事项</w:t>
      </w:r>
      <w:r>
        <w:tab/>
      </w:r>
      <w:r>
        <w:fldChar w:fldCharType="begin"/>
      </w:r>
      <w:r>
        <w:instrText xml:space="preserve"> PAGEREF _Toc14865 \h </w:instrText>
      </w:r>
      <w:r>
        <w:fldChar w:fldCharType="separate"/>
      </w:r>
      <w:r>
        <w:t>24</w:t>
      </w:r>
      <w:r>
        <w:fldChar w:fldCharType="end"/>
      </w:r>
      <w:r>
        <w:fldChar w:fldCharType="end"/>
      </w:r>
    </w:p>
    <w:p w14:paraId="6F097E55">
      <w:pPr>
        <w:pStyle w:val="13"/>
        <w:tabs>
          <w:tab w:val="right" w:leader="dot" w:pos="8306"/>
          <w:tab w:val="clear" w:pos="0"/>
        </w:tabs>
      </w:pPr>
      <w:r>
        <w:fldChar w:fldCharType="begin"/>
      </w:r>
      <w:r>
        <w:instrText xml:space="preserve"> HYPERLINK \l _Toc12400 </w:instrText>
      </w:r>
      <w:r>
        <w:fldChar w:fldCharType="separate"/>
      </w:r>
      <w:r>
        <w:rPr>
          <w:rFonts w:hint="eastAsia" w:ascii="宋体" w:hAnsi="宋体" w:eastAsia="宋体" w:cs="宋体"/>
          <w:lang w:val="en-US" w:eastAsia="zh-CN"/>
        </w:rPr>
        <w:t xml:space="preserve">(一) </w:t>
      </w:r>
      <w:r>
        <w:rPr>
          <w:rFonts w:hint="eastAsia"/>
          <w:lang w:val="en-US" w:eastAsia="zh-CN"/>
        </w:rPr>
        <w:t>签订合同</w:t>
      </w:r>
      <w:r>
        <w:tab/>
      </w:r>
      <w:r>
        <w:fldChar w:fldCharType="begin"/>
      </w:r>
      <w:r>
        <w:instrText xml:space="preserve"> PAGEREF _Toc12400 \h </w:instrText>
      </w:r>
      <w:r>
        <w:fldChar w:fldCharType="separate"/>
      </w:r>
      <w:r>
        <w:t>24</w:t>
      </w:r>
      <w:r>
        <w:fldChar w:fldCharType="end"/>
      </w:r>
      <w:r>
        <w:fldChar w:fldCharType="end"/>
      </w:r>
    </w:p>
    <w:p w14:paraId="5277FD15">
      <w:pPr>
        <w:pStyle w:val="13"/>
        <w:tabs>
          <w:tab w:val="right" w:leader="dot" w:pos="8306"/>
          <w:tab w:val="clear" w:pos="0"/>
        </w:tabs>
      </w:pPr>
      <w:r>
        <w:fldChar w:fldCharType="begin"/>
      </w:r>
      <w:r>
        <w:instrText xml:space="preserve"> HYPERLINK \l _Toc12369 </w:instrText>
      </w:r>
      <w:r>
        <w:fldChar w:fldCharType="separate"/>
      </w:r>
      <w:r>
        <w:rPr>
          <w:rFonts w:hint="eastAsia" w:ascii="宋体" w:hAnsi="宋体" w:eastAsia="宋体" w:cs="宋体"/>
          <w:lang w:val="en-US" w:eastAsia="zh-CN"/>
        </w:rPr>
        <w:t xml:space="preserve">(二) </w:t>
      </w:r>
      <w:r>
        <w:rPr>
          <w:rFonts w:hint="eastAsia"/>
          <w:lang w:val="en-US" w:eastAsia="zh-CN"/>
        </w:rPr>
        <w:t>合同分包(实质性要求)</w:t>
      </w:r>
      <w:r>
        <w:tab/>
      </w:r>
      <w:r>
        <w:fldChar w:fldCharType="begin"/>
      </w:r>
      <w:r>
        <w:instrText xml:space="preserve"> PAGEREF _Toc12369 \h </w:instrText>
      </w:r>
      <w:r>
        <w:fldChar w:fldCharType="separate"/>
      </w:r>
      <w:r>
        <w:t>25</w:t>
      </w:r>
      <w:r>
        <w:fldChar w:fldCharType="end"/>
      </w:r>
      <w:r>
        <w:fldChar w:fldCharType="end"/>
      </w:r>
    </w:p>
    <w:p w14:paraId="48C1BF6A">
      <w:pPr>
        <w:pStyle w:val="13"/>
        <w:tabs>
          <w:tab w:val="right" w:leader="dot" w:pos="8306"/>
          <w:tab w:val="clear" w:pos="0"/>
        </w:tabs>
      </w:pPr>
      <w:r>
        <w:fldChar w:fldCharType="begin"/>
      </w:r>
      <w:r>
        <w:instrText xml:space="preserve"> HYPERLINK \l _Toc30692 </w:instrText>
      </w:r>
      <w:r>
        <w:fldChar w:fldCharType="separate"/>
      </w:r>
      <w:r>
        <w:rPr>
          <w:rFonts w:hint="eastAsia" w:ascii="宋体" w:hAnsi="宋体" w:eastAsia="宋体" w:cs="宋体"/>
          <w:lang w:val="en-US" w:eastAsia="zh-CN"/>
        </w:rPr>
        <w:t xml:space="preserve">(三) </w:t>
      </w:r>
      <w:r>
        <w:rPr>
          <w:rFonts w:hint="eastAsia"/>
          <w:lang w:val="en-US" w:eastAsia="zh-CN"/>
        </w:rPr>
        <w:t>合同转包(实质性要求)</w:t>
      </w:r>
      <w:r>
        <w:tab/>
      </w:r>
      <w:r>
        <w:fldChar w:fldCharType="begin"/>
      </w:r>
      <w:r>
        <w:instrText xml:space="preserve"> PAGEREF _Toc30692 \h </w:instrText>
      </w:r>
      <w:r>
        <w:fldChar w:fldCharType="separate"/>
      </w:r>
      <w:r>
        <w:t>25</w:t>
      </w:r>
      <w:r>
        <w:fldChar w:fldCharType="end"/>
      </w:r>
      <w:r>
        <w:fldChar w:fldCharType="end"/>
      </w:r>
    </w:p>
    <w:p w14:paraId="288848BF">
      <w:pPr>
        <w:pStyle w:val="13"/>
        <w:tabs>
          <w:tab w:val="right" w:leader="dot" w:pos="8306"/>
          <w:tab w:val="clear" w:pos="0"/>
        </w:tabs>
      </w:pPr>
      <w:r>
        <w:fldChar w:fldCharType="begin"/>
      </w:r>
      <w:r>
        <w:instrText xml:space="preserve"> HYPERLINK \l _Toc15099 </w:instrText>
      </w:r>
      <w:r>
        <w:fldChar w:fldCharType="separate"/>
      </w:r>
      <w:r>
        <w:rPr>
          <w:rFonts w:hint="eastAsia" w:ascii="宋体" w:hAnsi="宋体" w:eastAsia="宋体" w:cs="宋体"/>
          <w:lang w:val="en-US" w:eastAsia="zh-CN"/>
        </w:rPr>
        <w:t xml:space="preserve">(四) </w:t>
      </w:r>
      <w:r>
        <w:rPr>
          <w:rFonts w:hint="eastAsia"/>
          <w:lang w:val="en-US" w:eastAsia="zh-CN"/>
        </w:rPr>
        <w:t>补充合同</w:t>
      </w:r>
      <w:r>
        <w:tab/>
      </w:r>
      <w:r>
        <w:fldChar w:fldCharType="begin"/>
      </w:r>
      <w:r>
        <w:instrText xml:space="preserve"> PAGEREF _Toc15099 \h </w:instrText>
      </w:r>
      <w:r>
        <w:fldChar w:fldCharType="separate"/>
      </w:r>
      <w:r>
        <w:t>25</w:t>
      </w:r>
      <w:r>
        <w:fldChar w:fldCharType="end"/>
      </w:r>
      <w:r>
        <w:fldChar w:fldCharType="end"/>
      </w:r>
    </w:p>
    <w:p w14:paraId="6439D370">
      <w:pPr>
        <w:pStyle w:val="13"/>
        <w:tabs>
          <w:tab w:val="right" w:leader="dot" w:pos="8306"/>
          <w:tab w:val="clear" w:pos="0"/>
        </w:tabs>
      </w:pPr>
      <w:r>
        <w:fldChar w:fldCharType="begin"/>
      </w:r>
      <w:r>
        <w:instrText xml:space="preserve"> HYPERLINK \l _Toc5618 </w:instrText>
      </w:r>
      <w:r>
        <w:fldChar w:fldCharType="separate"/>
      </w:r>
      <w:r>
        <w:rPr>
          <w:rFonts w:hint="eastAsia" w:ascii="宋体" w:hAnsi="宋体" w:eastAsia="宋体" w:cs="宋体"/>
          <w:lang w:val="en-US" w:eastAsia="zh-CN"/>
        </w:rPr>
        <w:t xml:space="preserve">(五) </w:t>
      </w:r>
      <w:r>
        <w:rPr>
          <w:rFonts w:hint="eastAsia"/>
          <w:lang w:val="en-US" w:eastAsia="zh-CN"/>
        </w:rPr>
        <w:t>履行合同</w:t>
      </w:r>
      <w:r>
        <w:tab/>
      </w:r>
      <w:r>
        <w:fldChar w:fldCharType="begin"/>
      </w:r>
      <w:r>
        <w:instrText xml:space="preserve"> PAGEREF _Toc5618 \h </w:instrText>
      </w:r>
      <w:r>
        <w:fldChar w:fldCharType="separate"/>
      </w:r>
      <w:r>
        <w:t>26</w:t>
      </w:r>
      <w:r>
        <w:fldChar w:fldCharType="end"/>
      </w:r>
      <w:r>
        <w:fldChar w:fldCharType="end"/>
      </w:r>
    </w:p>
    <w:p w14:paraId="2DDC4C5D">
      <w:pPr>
        <w:pStyle w:val="13"/>
        <w:tabs>
          <w:tab w:val="right" w:leader="dot" w:pos="8306"/>
          <w:tab w:val="clear" w:pos="0"/>
        </w:tabs>
      </w:pPr>
      <w:r>
        <w:fldChar w:fldCharType="begin"/>
      </w:r>
      <w:r>
        <w:instrText xml:space="preserve"> HYPERLINK \l _Toc835 </w:instrText>
      </w:r>
      <w:r>
        <w:fldChar w:fldCharType="separate"/>
      </w:r>
      <w:r>
        <w:rPr>
          <w:rFonts w:hint="eastAsia" w:ascii="宋体" w:hAnsi="宋体" w:eastAsia="宋体" w:cs="宋体"/>
          <w:lang w:val="en-US" w:eastAsia="zh-CN"/>
        </w:rPr>
        <w:t xml:space="preserve">(六) </w:t>
      </w:r>
      <w:r>
        <w:rPr>
          <w:rFonts w:hint="eastAsia"/>
          <w:lang w:val="en-US" w:eastAsia="zh-CN"/>
        </w:rPr>
        <w:t>资金支付方式、时间、条件及履约验收</w:t>
      </w:r>
      <w:r>
        <w:tab/>
      </w:r>
      <w:r>
        <w:fldChar w:fldCharType="begin"/>
      </w:r>
      <w:r>
        <w:instrText xml:space="preserve"> PAGEREF _Toc835 \h </w:instrText>
      </w:r>
      <w:r>
        <w:fldChar w:fldCharType="separate"/>
      </w:r>
      <w:r>
        <w:t>26</w:t>
      </w:r>
      <w:r>
        <w:fldChar w:fldCharType="end"/>
      </w:r>
      <w:r>
        <w:fldChar w:fldCharType="end"/>
      </w:r>
    </w:p>
    <w:p w14:paraId="773E7EB1">
      <w:pPr>
        <w:pStyle w:val="22"/>
        <w:tabs>
          <w:tab w:val="right" w:leader="dot" w:pos="8306"/>
          <w:tab w:val="clear" w:pos="0"/>
        </w:tabs>
      </w:pPr>
      <w:r>
        <w:fldChar w:fldCharType="begin"/>
      </w:r>
      <w:r>
        <w:instrText xml:space="preserve"> HYPERLINK \l _Toc16351 </w:instrText>
      </w:r>
      <w:r>
        <w:fldChar w:fldCharType="separate"/>
      </w:r>
      <w:r>
        <w:rPr>
          <w:rFonts w:hint="eastAsia" w:ascii="宋体" w:hAnsi="宋体" w:eastAsia="宋体" w:cs="宋体"/>
          <w:kern w:val="2"/>
          <w:szCs w:val="36"/>
          <w:lang w:val="en-US" w:eastAsia="zh-CN" w:bidi="ar-SA"/>
        </w:rPr>
        <w:t xml:space="preserve">八、 </w:t>
      </w:r>
      <w:r>
        <w:rPr>
          <w:rFonts w:hint="eastAsia" w:ascii="宋体" w:hAnsi="宋体" w:eastAsia="宋体" w:cstheme="minorBidi"/>
          <w:kern w:val="2"/>
          <w:szCs w:val="36"/>
          <w:lang w:val="en-US" w:eastAsia="zh-CN" w:bidi="ar-SA"/>
        </w:rPr>
        <w:t>磋商纪律要求</w:t>
      </w:r>
      <w:r>
        <w:tab/>
      </w:r>
      <w:r>
        <w:fldChar w:fldCharType="begin"/>
      </w:r>
      <w:r>
        <w:instrText xml:space="preserve"> PAGEREF _Toc16351 \h </w:instrText>
      </w:r>
      <w:r>
        <w:fldChar w:fldCharType="separate"/>
      </w:r>
      <w:r>
        <w:t>26</w:t>
      </w:r>
      <w:r>
        <w:fldChar w:fldCharType="end"/>
      </w:r>
      <w:r>
        <w:fldChar w:fldCharType="end"/>
      </w:r>
    </w:p>
    <w:p w14:paraId="18FB790E">
      <w:pPr>
        <w:pStyle w:val="13"/>
        <w:tabs>
          <w:tab w:val="right" w:leader="dot" w:pos="8306"/>
          <w:tab w:val="clear" w:pos="0"/>
        </w:tabs>
      </w:pPr>
      <w:r>
        <w:fldChar w:fldCharType="begin"/>
      </w:r>
      <w:r>
        <w:instrText xml:space="preserve"> HYPERLINK \l _Toc16082 </w:instrText>
      </w:r>
      <w:r>
        <w:fldChar w:fldCharType="separate"/>
      </w:r>
      <w:r>
        <w:rPr>
          <w:rFonts w:hint="eastAsia" w:ascii="宋体" w:hAnsi="宋体" w:eastAsia="宋体" w:cs="宋体"/>
          <w:lang w:val="en-US" w:eastAsia="zh-CN"/>
        </w:rPr>
        <w:t xml:space="preserve">(一) </w:t>
      </w:r>
      <w:r>
        <w:rPr>
          <w:rFonts w:hint="eastAsia"/>
          <w:lang w:val="en-US" w:eastAsia="zh-CN"/>
        </w:rPr>
        <w:t>供应商参加本项目采购活动不得具有的情形</w:t>
      </w:r>
      <w:r>
        <w:tab/>
      </w:r>
      <w:r>
        <w:fldChar w:fldCharType="begin"/>
      </w:r>
      <w:r>
        <w:instrText xml:space="preserve"> PAGEREF _Toc16082 \h </w:instrText>
      </w:r>
      <w:r>
        <w:fldChar w:fldCharType="separate"/>
      </w:r>
      <w:r>
        <w:t>27</w:t>
      </w:r>
      <w:r>
        <w:fldChar w:fldCharType="end"/>
      </w:r>
      <w:r>
        <w:fldChar w:fldCharType="end"/>
      </w:r>
    </w:p>
    <w:p w14:paraId="3E0FBB01">
      <w:pPr>
        <w:pStyle w:val="13"/>
        <w:tabs>
          <w:tab w:val="right" w:leader="dot" w:pos="8306"/>
          <w:tab w:val="clear" w:pos="0"/>
        </w:tabs>
      </w:pPr>
      <w:r>
        <w:fldChar w:fldCharType="begin"/>
      </w:r>
      <w:r>
        <w:instrText xml:space="preserve"> HYPERLINK \l _Toc7253 </w:instrText>
      </w:r>
      <w:r>
        <w:fldChar w:fldCharType="separate"/>
      </w:r>
      <w:r>
        <w:rPr>
          <w:rFonts w:hint="eastAsia" w:ascii="宋体" w:hAnsi="宋体" w:eastAsia="宋体" w:cs="宋体"/>
          <w:lang w:val="en-US" w:eastAsia="zh-CN"/>
        </w:rPr>
        <w:t xml:space="preserve">(二) </w:t>
      </w:r>
      <w:r>
        <w:rPr>
          <w:rFonts w:hint="eastAsia"/>
          <w:highlight w:val="none"/>
          <w:lang w:val="en-US" w:eastAsia="zh-CN"/>
        </w:rPr>
        <w:t>磋商现场纪律要求</w:t>
      </w:r>
      <w:r>
        <w:tab/>
      </w:r>
      <w:r>
        <w:fldChar w:fldCharType="begin"/>
      </w:r>
      <w:r>
        <w:instrText xml:space="preserve"> PAGEREF _Toc7253 \h </w:instrText>
      </w:r>
      <w:r>
        <w:fldChar w:fldCharType="separate"/>
      </w:r>
      <w:r>
        <w:t>28</w:t>
      </w:r>
      <w:r>
        <w:fldChar w:fldCharType="end"/>
      </w:r>
      <w:r>
        <w:fldChar w:fldCharType="end"/>
      </w:r>
    </w:p>
    <w:p w14:paraId="7DB70EFF">
      <w:pPr>
        <w:pStyle w:val="22"/>
        <w:tabs>
          <w:tab w:val="right" w:leader="dot" w:pos="8306"/>
          <w:tab w:val="clear" w:pos="0"/>
        </w:tabs>
      </w:pPr>
      <w:r>
        <w:fldChar w:fldCharType="begin"/>
      </w:r>
      <w:r>
        <w:instrText xml:space="preserve"> HYPERLINK \l _Toc19109 </w:instrText>
      </w:r>
      <w:r>
        <w:fldChar w:fldCharType="separate"/>
      </w:r>
      <w:r>
        <w:rPr>
          <w:rFonts w:hint="eastAsia" w:ascii="宋体" w:hAnsi="宋体" w:eastAsia="宋体" w:cs="宋体"/>
          <w:kern w:val="2"/>
          <w:szCs w:val="36"/>
          <w:lang w:val="en-US" w:eastAsia="zh-CN" w:bidi="ar-SA"/>
        </w:rPr>
        <w:t xml:space="preserve">九、 </w:t>
      </w:r>
      <w:r>
        <w:rPr>
          <w:rFonts w:hint="eastAsia" w:ascii="宋体" w:hAnsi="宋体" w:eastAsia="宋体" w:cstheme="minorBidi"/>
          <w:kern w:val="2"/>
          <w:szCs w:val="36"/>
          <w:lang w:val="en-US" w:eastAsia="zh-CN" w:bidi="ar-SA"/>
        </w:rPr>
        <w:t>其他</w:t>
      </w:r>
      <w:r>
        <w:tab/>
      </w:r>
      <w:r>
        <w:fldChar w:fldCharType="begin"/>
      </w:r>
      <w:r>
        <w:instrText xml:space="preserve"> PAGEREF _Toc19109 \h </w:instrText>
      </w:r>
      <w:r>
        <w:fldChar w:fldCharType="separate"/>
      </w:r>
      <w:r>
        <w:t>28</w:t>
      </w:r>
      <w:r>
        <w:fldChar w:fldCharType="end"/>
      </w:r>
      <w:r>
        <w:fldChar w:fldCharType="end"/>
      </w:r>
    </w:p>
    <w:p w14:paraId="5ECDF70E">
      <w:pPr>
        <w:pStyle w:val="13"/>
        <w:tabs>
          <w:tab w:val="right" w:leader="dot" w:pos="8306"/>
          <w:tab w:val="clear" w:pos="0"/>
        </w:tabs>
      </w:pPr>
      <w:r>
        <w:fldChar w:fldCharType="begin"/>
      </w:r>
      <w:r>
        <w:instrText xml:space="preserve"> HYPERLINK \l _Toc10585 </w:instrText>
      </w:r>
      <w:r>
        <w:fldChar w:fldCharType="separate"/>
      </w:r>
      <w:r>
        <w:rPr>
          <w:rFonts w:hint="eastAsia" w:ascii="宋体" w:hAnsi="宋体" w:eastAsia="宋体" w:cs="宋体"/>
          <w:lang w:val="en-US" w:eastAsia="zh-CN"/>
        </w:rPr>
        <w:t xml:space="preserve">(一) </w:t>
      </w:r>
      <w:r>
        <w:rPr>
          <w:rFonts w:hint="eastAsia"/>
          <w:lang w:val="en-US" w:eastAsia="zh-CN"/>
        </w:rPr>
        <w:t>关于行贿犯罪档案查询工作的规定</w:t>
      </w:r>
      <w:r>
        <w:tab/>
      </w:r>
      <w:r>
        <w:fldChar w:fldCharType="begin"/>
      </w:r>
      <w:r>
        <w:instrText xml:space="preserve"> PAGEREF _Toc10585 \h </w:instrText>
      </w:r>
      <w:r>
        <w:fldChar w:fldCharType="separate"/>
      </w:r>
      <w:r>
        <w:t>28</w:t>
      </w:r>
      <w:r>
        <w:fldChar w:fldCharType="end"/>
      </w:r>
      <w:r>
        <w:fldChar w:fldCharType="end"/>
      </w:r>
    </w:p>
    <w:p w14:paraId="67F5247C">
      <w:pPr>
        <w:pStyle w:val="13"/>
        <w:tabs>
          <w:tab w:val="right" w:leader="dot" w:pos="8306"/>
          <w:tab w:val="clear" w:pos="0"/>
        </w:tabs>
      </w:pPr>
      <w:r>
        <w:fldChar w:fldCharType="begin"/>
      </w:r>
      <w:r>
        <w:instrText xml:space="preserve"> HYPERLINK \l _Toc21956 </w:instrText>
      </w:r>
      <w:r>
        <w:fldChar w:fldCharType="separate"/>
      </w:r>
      <w:r>
        <w:rPr>
          <w:rFonts w:hint="eastAsia" w:ascii="宋体" w:hAnsi="宋体" w:eastAsia="宋体" w:cs="宋体"/>
          <w:lang w:val="en-US" w:eastAsia="zh-CN"/>
        </w:rPr>
        <w:t xml:space="preserve">(二) </w:t>
      </w:r>
      <w:r>
        <w:rPr>
          <w:rFonts w:hint="eastAsia"/>
          <w:lang w:val="en-US" w:eastAsia="zh-CN"/>
        </w:rPr>
        <w:t>供应商信用信息查询</w:t>
      </w:r>
      <w:r>
        <w:tab/>
      </w:r>
      <w:r>
        <w:fldChar w:fldCharType="begin"/>
      </w:r>
      <w:r>
        <w:instrText xml:space="preserve"> PAGEREF _Toc21956 \h </w:instrText>
      </w:r>
      <w:r>
        <w:fldChar w:fldCharType="separate"/>
      </w:r>
      <w:r>
        <w:t>28</w:t>
      </w:r>
      <w:r>
        <w:fldChar w:fldCharType="end"/>
      </w:r>
      <w:r>
        <w:fldChar w:fldCharType="end"/>
      </w:r>
    </w:p>
    <w:p w14:paraId="01165036">
      <w:pPr>
        <w:pStyle w:val="13"/>
        <w:tabs>
          <w:tab w:val="right" w:leader="dot" w:pos="8306"/>
          <w:tab w:val="clear" w:pos="0"/>
        </w:tabs>
      </w:pPr>
      <w:r>
        <w:fldChar w:fldCharType="begin"/>
      </w:r>
      <w:r>
        <w:instrText xml:space="preserve"> HYPERLINK \l _Toc9882 </w:instrText>
      </w:r>
      <w:r>
        <w:fldChar w:fldCharType="separate"/>
      </w:r>
      <w:r>
        <w:rPr>
          <w:rFonts w:hint="eastAsia" w:ascii="宋体" w:hAnsi="宋体" w:eastAsia="宋体" w:cs="宋体"/>
          <w:lang w:val="en-US" w:eastAsia="zh-CN"/>
        </w:rPr>
        <w:t xml:space="preserve">(三) </w:t>
      </w:r>
      <w:r>
        <w:rPr>
          <w:rFonts w:hint="eastAsia"/>
          <w:lang w:val="en-US" w:eastAsia="zh-CN"/>
        </w:rPr>
        <w:t>保密</w:t>
      </w:r>
      <w:r>
        <w:tab/>
      </w:r>
      <w:r>
        <w:fldChar w:fldCharType="begin"/>
      </w:r>
      <w:r>
        <w:instrText xml:space="preserve"> PAGEREF _Toc9882 \h </w:instrText>
      </w:r>
      <w:r>
        <w:fldChar w:fldCharType="separate"/>
      </w:r>
      <w:r>
        <w:t>29</w:t>
      </w:r>
      <w:r>
        <w:fldChar w:fldCharType="end"/>
      </w:r>
      <w:r>
        <w:fldChar w:fldCharType="end"/>
      </w:r>
    </w:p>
    <w:p w14:paraId="6AFE6614">
      <w:pPr>
        <w:pStyle w:val="13"/>
        <w:tabs>
          <w:tab w:val="right" w:leader="dot" w:pos="8306"/>
          <w:tab w:val="clear" w:pos="0"/>
        </w:tabs>
      </w:pPr>
      <w:r>
        <w:fldChar w:fldCharType="begin"/>
      </w:r>
      <w:r>
        <w:instrText xml:space="preserve"> HYPERLINK \l _Toc25283 </w:instrText>
      </w:r>
      <w:r>
        <w:fldChar w:fldCharType="separate"/>
      </w:r>
      <w:r>
        <w:rPr>
          <w:rFonts w:hint="eastAsia" w:ascii="宋体" w:hAnsi="宋体" w:eastAsia="宋体" w:cs="宋体"/>
          <w:lang w:val="en-US" w:eastAsia="zh-CN"/>
        </w:rPr>
        <w:t xml:space="preserve">(四) </w:t>
      </w:r>
      <w:r>
        <w:rPr>
          <w:rFonts w:hint="eastAsia"/>
          <w:lang w:val="en-US" w:eastAsia="zh-CN"/>
        </w:rPr>
        <w:t>回避</w:t>
      </w:r>
      <w:r>
        <w:tab/>
      </w:r>
      <w:r>
        <w:fldChar w:fldCharType="begin"/>
      </w:r>
      <w:r>
        <w:instrText xml:space="preserve"> PAGEREF _Toc25283 \h </w:instrText>
      </w:r>
      <w:r>
        <w:fldChar w:fldCharType="separate"/>
      </w:r>
      <w:r>
        <w:t>29</w:t>
      </w:r>
      <w:r>
        <w:fldChar w:fldCharType="end"/>
      </w:r>
      <w:r>
        <w:fldChar w:fldCharType="end"/>
      </w:r>
    </w:p>
    <w:p w14:paraId="05FD34BA">
      <w:pPr>
        <w:pStyle w:val="13"/>
        <w:tabs>
          <w:tab w:val="right" w:leader="dot" w:pos="8306"/>
          <w:tab w:val="clear" w:pos="0"/>
        </w:tabs>
      </w:pPr>
      <w:r>
        <w:fldChar w:fldCharType="begin"/>
      </w:r>
      <w:r>
        <w:instrText xml:space="preserve"> HYPERLINK \l _Toc20348 </w:instrText>
      </w:r>
      <w:r>
        <w:fldChar w:fldCharType="separate"/>
      </w:r>
      <w:r>
        <w:rPr>
          <w:rFonts w:hint="eastAsia" w:ascii="宋体" w:hAnsi="宋体" w:eastAsia="宋体" w:cs="宋体"/>
          <w:lang w:val="en-US" w:eastAsia="zh-CN"/>
        </w:rPr>
        <w:t xml:space="preserve">(五) </w:t>
      </w:r>
      <w:r>
        <w:rPr>
          <w:rFonts w:hint="eastAsia"/>
          <w:lang w:val="en-US" w:eastAsia="zh-CN"/>
        </w:rPr>
        <w:t>解释说明</w:t>
      </w:r>
      <w:r>
        <w:tab/>
      </w:r>
      <w:r>
        <w:fldChar w:fldCharType="begin"/>
      </w:r>
      <w:r>
        <w:instrText xml:space="preserve"> PAGEREF _Toc20348 \h </w:instrText>
      </w:r>
      <w:r>
        <w:fldChar w:fldCharType="separate"/>
      </w:r>
      <w:r>
        <w:t>29</w:t>
      </w:r>
      <w:r>
        <w:fldChar w:fldCharType="end"/>
      </w:r>
      <w:r>
        <w:fldChar w:fldCharType="end"/>
      </w:r>
    </w:p>
    <w:p w14:paraId="73D6D08B">
      <w:pPr>
        <w:pStyle w:val="17"/>
        <w:tabs>
          <w:tab w:val="right" w:leader="dot" w:pos="8306"/>
          <w:tab w:val="clear" w:pos="0"/>
          <w:tab w:val="clear" w:pos="9746"/>
        </w:tabs>
      </w:pPr>
      <w:r>
        <w:fldChar w:fldCharType="begin"/>
      </w:r>
      <w:r>
        <w:instrText xml:space="preserve"> HYPERLINK \l _Toc24102 </w:instrText>
      </w:r>
      <w:r>
        <w:fldChar w:fldCharType="separate"/>
      </w:r>
      <w:r>
        <w:rPr>
          <w:rFonts w:hint="eastAsia" w:ascii="宋体" w:hAnsi="宋体" w:eastAsia="宋体" w:cs="宋体"/>
        </w:rPr>
        <w:t xml:space="preserve">第三章 </w:t>
      </w:r>
      <w:r>
        <w:rPr>
          <w:rFonts w:hint="eastAsia"/>
          <w:lang w:val="en-US" w:eastAsia="zh-CN"/>
        </w:rPr>
        <w:t>响应</w:t>
      </w:r>
      <w:r>
        <w:rPr>
          <w:rFonts w:hint="eastAsia"/>
        </w:rPr>
        <w:t>文件格式</w:t>
      </w:r>
      <w:r>
        <w:tab/>
      </w:r>
      <w:r>
        <w:fldChar w:fldCharType="begin"/>
      </w:r>
      <w:r>
        <w:instrText xml:space="preserve"> PAGEREF _Toc24102 \h </w:instrText>
      </w:r>
      <w:r>
        <w:fldChar w:fldCharType="separate"/>
      </w:r>
      <w:r>
        <w:t>31</w:t>
      </w:r>
      <w:r>
        <w:fldChar w:fldCharType="end"/>
      </w:r>
      <w:r>
        <w:fldChar w:fldCharType="end"/>
      </w:r>
    </w:p>
    <w:p w14:paraId="1D642C1B">
      <w:pPr>
        <w:pStyle w:val="22"/>
        <w:tabs>
          <w:tab w:val="right" w:leader="dot" w:pos="8306"/>
          <w:tab w:val="clear" w:pos="0"/>
        </w:tabs>
      </w:pPr>
      <w:r>
        <w:fldChar w:fldCharType="begin"/>
      </w:r>
      <w:r>
        <w:instrText xml:space="preserve"> HYPERLINK \l _Toc19032 </w:instrText>
      </w:r>
      <w:r>
        <w:fldChar w:fldCharType="separate"/>
      </w:r>
      <w:r>
        <w:rPr>
          <w:rFonts w:hint="eastAsia"/>
          <w:szCs w:val="32"/>
          <w:lang w:val="en-US" w:eastAsia="zh-CN"/>
        </w:rPr>
        <w:t>第一部</w:t>
      </w:r>
      <w:r>
        <w:rPr>
          <w:rFonts w:hint="eastAsia"/>
          <w:szCs w:val="32"/>
        </w:rPr>
        <w:t>分 资格、资质性及其他类似效力</w:t>
      </w:r>
      <w:r>
        <w:rPr>
          <w:rFonts w:hint="eastAsia"/>
          <w:szCs w:val="32"/>
          <w:lang w:val="en-US" w:eastAsia="zh-CN"/>
        </w:rPr>
        <w:t>响应</w:t>
      </w:r>
      <w:r>
        <w:rPr>
          <w:rFonts w:hint="eastAsia"/>
          <w:szCs w:val="32"/>
        </w:rPr>
        <w:t>文件(格式)</w:t>
      </w:r>
      <w:r>
        <w:tab/>
      </w:r>
      <w:r>
        <w:fldChar w:fldCharType="begin"/>
      </w:r>
      <w:r>
        <w:instrText xml:space="preserve"> PAGEREF _Toc19032 \h </w:instrText>
      </w:r>
      <w:r>
        <w:fldChar w:fldCharType="separate"/>
      </w:r>
      <w:r>
        <w:t>34</w:t>
      </w:r>
      <w:r>
        <w:fldChar w:fldCharType="end"/>
      </w:r>
      <w:r>
        <w:fldChar w:fldCharType="end"/>
      </w:r>
    </w:p>
    <w:p w14:paraId="7ABAE3BC">
      <w:pPr>
        <w:pStyle w:val="13"/>
        <w:tabs>
          <w:tab w:val="right" w:leader="dot" w:pos="8306"/>
          <w:tab w:val="clear" w:pos="0"/>
        </w:tabs>
      </w:pPr>
      <w:r>
        <w:fldChar w:fldCharType="begin"/>
      </w:r>
      <w:r>
        <w:instrText xml:space="preserve"> HYPERLINK \l _Toc14631 </w:instrText>
      </w:r>
      <w:r>
        <w:fldChar w:fldCharType="separate"/>
      </w:r>
      <w:r>
        <w:rPr>
          <w:rFonts w:hint="eastAsia"/>
        </w:rPr>
        <w:t>一、 法定代表人</w:t>
      </w:r>
      <w:r>
        <w:rPr>
          <w:rFonts w:hint="eastAsia"/>
          <w:lang w:val="en-US" w:eastAsia="zh-CN"/>
        </w:rPr>
        <w:t>/单位负责人</w:t>
      </w:r>
      <w:r>
        <w:rPr>
          <w:rFonts w:hint="eastAsia"/>
        </w:rPr>
        <w:t>授权书</w:t>
      </w:r>
      <w:r>
        <w:tab/>
      </w:r>
      <w:r>
        <w:fldChar w:fldCharType="begin"/>
      </w:r>
      <w:r>
        <w:instrText xml:space="preserve"> PAGEREF _Toc14631 \h </w:instrText>
      </w:r>
      <w:r>
        <w:fldChar w:fldCharType="separate"/>
      </w:r>
      <w:r>
        <w:t>35</w:t>
      </w:r>
      <w:r>
        <w:fldChar w:fldCharType="end"/>
      </w:r>
      <w:r>
        <w:fldChar w:fldCharType="end"/>
      </w:r>
    </w:p>
    <w:p w14:paraId="65DB4E89">
      <w:pPr>
        <w:pStyle w:val="13"/>
        <w:tabs>
          <w:tab w:val="right" w:leader="dot" w:pos="8306"/>
          <w:tab w:val="clear" w:pos="0"/>
        </w:tabs>
      </w:pPr>
      <w:r>
        <w:fldChar w:fldCharType="begin"/>
      </w:r>
      <w:r>
        <w:instrText xml:space="preserve"> HYPERLINK \l _Toc7866 </w:instrText>
      </w:r>
      <w:r>
        <w:fldChar w:fldCharType="separate"/>
      </w:r>
      <w:r>
        <w:rPr>
          <w:rFonts w:hint="eastAsia"/>
          <w:lang w:val="en-US" w:eastAsia="zh-CN"/>
        </w:rPr>
        <w:t>一、 法定代表人/单位负责人证明书</w:t>
      </w:r>
      <w:r>
        <w:tab/>
      </w:r>
      <w:r>
        <w:fldChar w:fldCharType="begin"/>
      </w:r>
      <w:r>
        <w:instrText xml:space="preserve"> PAGEREF _Toc7866 \h </w:instrText>
      </w:r>
      <w:r>
        <w:fldChar w:fldCharType="separate"/>
      </w:r>
      <w:r>
        <w:t>36</w:t>
      </w:r>
      <w:r>
        <w:fldChar w:fldCharType="end"/>
      </w:r>
      <w:r>
        <w:fldChar w:fldCharType="end"/>
      </w:r>
    </w:p>
    <w:p w14:paraId="5A939F68">
      <w:pPr>
        <w:pStyle w:val="13"/>
        <w:tabs>
          <w:tab w:val="right" w:leader="dot" w:pos="8306"/>
          <w:tab w:val="clear" w:pos="0"/>
        </w:tabs>
      </w:pPr>
      <w:r>
        <w:fldChar w:fldCharType="begin"/>
      </w:r>
      <w:r>
        <w:instrText xml:space="preserve"> HYPERLINK \l _Toc13168 </w:instrText>
      </w:r>
      <w:r>
        <w:fldChar w:fldCharType="separate"/>
      </w:r>
      <w:r>
        <w:rPr>
          <w:rFonts w:hint="eastAsia"/>
          <w:lang w:val="en-US" w:eastAsia="zh-CN"/>
        </w:rPr>
        <w:t>二、 供应商具有独立承担民事责任的能力的证明材料</w:t>
      </w:r>
      <w:r>
        <w:tab/>
      </w:r>
      <w:r>
        <w:fldChar w:fldCharType="begin"/>
      </w:r>
      <w:r>
        <w:instrText xml:space="preserve"> PAGEREF _Toc13168 \h </w:instrText>
      </w:r>
      <w:r>
        <w:fldChar w:fldCharType="separate"/>
      </w:r>
      <w:r>
        <w:t>37</w:t>
      </w:r>
      <w:r>
        <w:fldChar w:fldCharType="end"/>
      </w:r>
      <w:r>
        <w:fldChar w:fldCharType="end"/>
      </w:r>
    </w:p>
    <w:p w14:paraId="754172EF">
      <w:pPr>
        <w:pStyle w:val="13"/>
        <w:tabs>
          <w:tab w:val="right" w:leader="dot" w:pos="8306"/>
          <w:tab w:val="clear" w:pos="0"/>
        </w:tabs>
      </w:pPr>
      <w:r>
        <w:fldChar w:fldCharType="begin"/>
      </w:r>
      <w:r>
        <w:instrText xml:space="preserve"> HYPERLINK \l _Toc21168 </w:instrText>
      </w:r>
      <w:r>
        <w:fldChar w:fldCharType="separate"/>
      </w:r>
      <w:r>
        <w:rPr>
          <w:rFonts w:hint="eastAsia"/>
          <w:lang w:val="en-US" w:eastAsia="zh-CN"/>
        </w:rPr>
        <w:t>三、 供应商具有良好的商业信誉和健全的财务会计制度的证明材料</w:t>
      </w:r>
      <w:r>
        <w:tab/>
      </w:r>
      <w:r>
        <w:fldChar w:fldCharType="begin"/>
      </w:r>
      <w:r>
        <w:instrText xml:space="preserve"> PAGEREF _Toc21168 \h </w:instrText>
      </w:r>
      <w:r>
        <w:fldChar w:fldCharType="separate"/>
      </w:r>
      <w:r>
        <w:t>38</w:t>
      </w:r>
      <w:r>
        <w:fldChar w:fldCharType="end"/>
      </w:r>
      <w:r>
        <w:fldChar w:fldCharType="end"/>
      </w:r>
    </w:p>
    <w:p w14:paraId="71AE7A55">
      <w:pPr>
        <w:pStyle w:val="13"/>
        <w:tabs>
          <w:tab w:val="right" w:leader="dot" w:pos="8306"/>
          <w:tab w:val="clear" w:pos="0"/>
        </w:tabs>
      </w:pPr>
      <w:r>
        <w:fldChar w:fldCharType="begin"/>
      </w:r>
      <w:r>
        <w:instrText xml:space="preserve"> HYPERLINK \l _Toc5052 </w:instrText>
      </w:r>
      <w:r>
        <w:fldChar w:fldCharType="separate"/>
      </w:r>
      <w:r>
        <w:rPr>
          <w:rFonts w:hint="eastAsia"/>
          <w:lang w:val="en-US" w:eastAsia="zh-CN"/>
        </w:rPr>
        <w:t>四、 供应商有依法缴纳税收和社会保障资金的良好记录的证明材料</w:t>
      </w:r>
      <w:r>
        <w:tab/>
      </w:r>
      <w:r>
        <w:fldChar w:fldCharType="begin"/>
      </w:r>
      <w:r>
        <w:instrText xml:space="preserve"> PAGEREF _Toc5052 \h </w:instrText>
      </w:r>
      <w:r>
        <w:fldChar w:fldCharType="separate"/>
      </w:r>
      <w:r>
        <w:t>39</w:t>
      </w:r>
      <w:r>
        <w:fldChar w:fldCharType="end"/>
      </w:r>
      <w:r>
        <w:fldChar w:fldCharType="end"/>
      </w:r>
    </w:p>
    <w:p w14:paraId="7B7371FB">
      <w:pPr>
        <w:pStyle w:val="13"/>
        <w:tabs>
          <w:tab w:val="right" w:leader="dot" w:pos="8306"/>
          <w:tab w:val="clear" w:pos="0"/>
        </w:tabs>
      </w:pPr>
      <w:r>
        <w:fldChar w:fldCharType="begin"/>
      </w:r>
      <w:r>
        <w:instrText xml:space="preserve"> HYPERLINK \l _Toc3937 </w:instrText>
      </w:r>
      <w:r>
        <w:fldChar w:fldCharType="separate"/>
      </w:r>
      <w:r>
        <w:rPr>
          <w:rFonts w:hint="eastAsia"/>
          <w:lang w:val="en-US" w:eastAsia="zh-CN"/>
        </w:rPr>
        <w:t>五、 供应商具有履行合同所必需的设备和专业技术能力证明材料</w:t>
      </w:r>
      <w:r>
        <w:tab/>
      </w:r>
      <w:r>
        <w:fldChar w:fldCharType="begin"/>
      </w:r>
      <w:r>
        <w:instrText xml:space="preserve"> PAGEREF _Toc3937 \h </w:instrText>
      </w:r>
      <w:r>
        <w:fldChar w:fldCharType="separate"/>
      </w:r>
      <w:r>
        <w:t>40</w:t>
      </w:r>
      <w:r>
        <w:fldChar w:fldCharType="end"/>
      </w:r>
      <w:r>
        <w:fldChar w:fldCharType="end"/>
      </w:r>
    </w:p>
    <w:p w14:paraId="562C34FD">
      <w:pPr>
        <w:pStyle w:val="13"/>
        <w:tabs>
          <w:tab w:val="right" w:leader="dot" w:pos="8306"/>
          <w:tab w:val="clear" w:pos="0"/>
        </w:tabs>
      </w:pPr>
      <w:r>
        <w:fldChar w:fldCharType="begin"/>
      </w:r>
      <w:r>
        <w:instrText xml:space="preserve"> HYPERLINK \l _Toc20104 </w:instrText>
      </w:r>
      <w:r>
        <w:fldChar w:fldCharType="separate"/>
      </w:r>
      <w:r>
        <w:rPr>
          <w:rFonts w:hint="eastAsia"/>
          <w:lang w:val="en-US" w:eastAsia="zh-CN"/>
        </w:rPr>
        <w:t>六、 供应商参加采购活动前三年内，在经营活动中没有重大违法记录的证明材料</w:t>
      </w:r>
      <w:r>
        <w:tab/>
      </w:r>
      <w:r>
        <w:fldChar w:fldCharType="begin"/>
      </w:r>
      <w:r>
        <w:instrText xml:space="preserve"> PAGEREF _Toc20104 \h </w:instrText>
      </w:r>
      <w:r>
        <w:fldChar w:fldCharType="separate"/>
      </w:r>
      <w:r>
        <w:t>41</w:t>
      </w:r>
      <w:r>
        <w:fldChar w:fldCharType="end"/>
      </w:r>
      <w:r>
        <w:fldChar w:fldCharType="end"/>
      </w:r>
    </w:p>
    <w:p w14:paraId="7B9E9367">
      <w:pPr>
        <w:pStyle w:val="13"/>
        <w:tabs>
          <w:tab w:val="right" w:leader="dot" w:pos="8306"/>
          <w:tab w:val="clear" w:pos="0"/>
        </w:tabs>
      </w:pPr>
      <w:r>
        <w:fldChar w:fldCharType="begin"/>
      </w:r>
      <w:r>
        <w:instrText xml:space="preserve"> HYPERLINK \l _Toc28546 </w:instrText>
      </w:r>
      <w:r>
        <w:fldChar w:fldCharType="separate"/>
      </w:r>
      <w:r>
        <w:rPr>
          <w:rFonts w:hint="eastAsia" w:ascii="宋体" w:hAnsi="宋体" w:eastAsia="宋体"/>
          <w:spacing w:val="-6"/>
          <w:lang w:val="zh-CN" w:eastAsia="zh-CN"/>
        </w:rPr>
        <w:t xml:space="preserve">七、 </w:t>
      </w:r>
      <w:r>
        <w:rPr>
          <w:rFonts w:hint="eastAsia" w:ascii="宋体" w:hAnsi="宋体" w:eastAsia="宋体"/>
          <w:spacing w:val="-6"/>
          <w:lang w:val="en-US" w:eastAsia="zh-CN"/>
        </w:rPr>
        <w:t>供应商单位</w:t>
      </w:r>
      <w:r>
        <w:rPr>
          <w:rFonts w:hint="eastAsia" w:ascii="宋体" w:hAnsi="宋体" w:eastAsia="宋体"/>
          <w:spacing w:val="-6"/>
          <w:lang w:val="zh-CN" w:eastAsia="zh-CN"/>
        </w:rPr>
        <w:t>及其现任法定代表人、主要负责人不得具有行贿犯罪记录</w:t>
      </w:r>
      <w:r>
        <w:rPr>
          <w:rFonts w:hint="eastAsia" w:ascii="宋体" w:hAnsi="宋体" w:eastAsia="宋体"/>
          <w:spacing w:val="-6"/>
          <w:lang w:val="en-US" w:eastAsia="zh-CN"/>
        </w:rPr>
        <w:t>的承诺函</w:t>
      </w:r>
      <w:r>
        <w:tab/>
      </w:r>
      <w:r>
        <w:fldChar w:fldCharType="begin"/>
      </w:r>
      <w:r>
        <w:instrText xml:space="preserve"> PAGEREF _Toc28546 \h </w:instrText>
      </w:r>
      <w:r>
        <w:fldChar w:fldCharType="separate"/>
      </w:r>
      <w:r>
        <w:t>42</w:t>
      </w:r>
      <w:r>
        <w:fldChar w:fldCharType="end"/>
      </w:r>
      <w:r>
        <w:fldChar w:fldCharType="end"/>
      </w:r>
    </w:p>
    <w:p w14:paraId="183EF7BB">
      <w:pPr>
        <w:pStyle w:val="13"/>
        <w:tabs>
          <w:tab w:val="right" w:leader="dot" w:pos="8306"/>
          <w:tab w:val="clear" w:pos="0"/>
        </w:tabs>
      </w:pPr>
      <w:r>
        <w:fldChar w:fldCharType="begin"/>
      </w:r>
      <w:r>
        <w:instrText xml:space="preserve"> HYPERLINK \l _Toc21299 </w:instrText>
      </w:r>
      <w:r>
        <w:fldChar w:fldCharType="separate"/>
      </w:r>
      <w:r>
        <w:rPr>
          <w:rFonts w:hint="eastAsia"/>
          <w:spacing w:val="-6"/>
          <w:lang w:val="en-US" w:eastAsia="zh-CN"/>
        </w:rPr>
        <w:t>八、 根据采购项目的特殊要求，规定供应商提供的特定条件的证明材料</w:t>
      </w:r>
      <w:r>
        <w:tab/>
      </w:r>
      <w:r>
        <w:fldChar w:fldCharType="begin"/>
      </w:r>
      <w:r>
        <w:instrText xml:space="preserve"> PAGEREF _Toc21299 \h </w:instrText>
      </w:r>
      <w:r>
        <w:fldChar w:fldCharType="separate"/>
      </w:r>
      <w:r>
        <w:t>43</w:t>
      </w:r>
      <w:r>
        <w:fldChar w:fldCharType="end"/>
      </w:r>
      <w:r>
        <w:fldChar w:fldCharType="end"/>
      </w:r>
    </w:p>
    <w:p w14:paraId="0AD63F88">
      <w:pPr>
        <w:pStyle w:val="13"/>
        <w:tabs>
          <w:tab w:val="right" w:leader="dot" w:pos="8306"/>
          <w:tab w:val="clear" w:pos="0"/>
        </w:tabs>
      </w:pPr>
      <w:r>
        <w:fldChar w:fldCharType="begin"/>
      </w:r>
      <w:r>
        <w:instrText xml:space="preserve"> HYPERLINK \l _Toc15171 </w:instrText>
      </w:r>
      <w:r>
        <w:fldChar w:fldCharType="separate"/>
      </w:r>
      <w:r>
        <w:rPr>
          <w:rFonts w:hint="eastAsia" w:ascii="宋体" w:hAnsi="宋体" w:eastAsia="宋体" w:cs="宋体"/>
          <w:lang w:val="en-US" w:eastAsia="zh-CN"/>
        </w:rPr>
        <w:t>九、 承诺及声明函</w:t>
      </w:r>
      <w:r>
        <w:tab/>
      </w:r>
      <w:r>
        <w:fldChar w:fldCharType="begin"/>
      </w:r>
      <w:r>
        <w:instrText xml:space="preserve"> PAGEREF _Toc15171 \h </w:instrText>
      </w:r>
      <w:r>
        <w:fldChar w:fldCharType="separate"/>
      </w:r>
      <w:r>
        <w:t>44</w:t>
      </w:r>
      <w:r>
        <w:fldChar w:fldCharType="end"/>
      </w:r>
      <w:r>
        <w:fldChar w:fldCharType="end"/>
      </w:r>
    </w:p>
    <w:p w14:paraId="2D4048F5">
      <w:pPr>
        <w:pStyle w:val="13"/>
        <w:tabs>
          <w:tab w:val="right" w:leader="dot" w:pos="8306"/>
          <w:tab w:val="clear" w:pos="0"/>
        </w:tabs>
      </w:pPr>
      <w:r>
        <w:fldChar w:fldCharType="begin"/>
      </w:r>
      <w:r>
        <w:instrText xml:space="preserve"> HYPERLINK \l _Toc25825 </w:instrText>
      </w:r>
      <w:r>
        <w:fldChar w:fldCharType="separate"/>
      </w:r>
      <w:r>
        <w:rPr>
          <w:rFonts w:hint="eastAsia" w:ascii="宋体" w:hAnsi="宋体" w:eastAsia="宋体" w:cs="宋体"/>
          <w:lang w:val="en-US" w:eastAsia="zh-CN"/>
        </w:rPr>
        <w:t>十、 落实采购政策需满足的资格要求</w:t>
      </w:r>
      <w:r>
        <w:tab/>
      </w:r>
      <w:r>
        <w:fldChar w:fldCharType="begin"/>
      </w:r>
      <w:r>
        <w:instrText xml:space="preserve"> PAGEREF _Toc25825 \h </w:instrText>
      </w:r>
      <w:r>
        <w:fldChar w:fldCharType="separate"/>
      </w:r>
      <w:r>
        <w:t>45</w:t>
      </w:r>
      <w:r>
        <w:fldChar w:fldCharType="end"/>
      </w:r>
      <w:r>
        <w:fldChar w:fldCharType="end"/>
      </w:r>
    </w:p>
    <w:p w14:paraId="0298B7F5">
      <w:pPr>
        <w:pStyle w:val="22"/>
        <w:tabs>
          <w:tab w:val="right" w:leader="dot" w:pos="8306"/>
          <w:tab w:val="clear" w:pos="0"/>
        </w:tabs>
      </w:pPr>
      <w:r>
        <w:fldChar w:fldCharType="begin"/>
      </w:r>
      <w:r>
        <w:instrText xml:space="preserve"> HYPERLINK \l _Toc13478 </w:instrText>
      </w:r>
      <w:r>
        <w:fldChar w:fldCharType="separate"/>
      </w:r>
      <w:r>
        <w:rPr>
          <w:rFonts w:hint="eastAsia"/>
          <w:szCs w:val="32"/>
        </w:rPr>
        <w:t>第</w:t>
      </w:r>
      <w:r>
        <w:rPr>
          <w:rFonts w:hint="eastAsia"/>
          <w:szCs w:val="32"/>
          <w:lang w:val="en-US" w:eastAsia="zh-CN"/>
        </w:rPr>
        <w:t>二</w:t>
      </w:r>
      <w:r>
        <w:rPr>
          <w:rFonts w:hint="eastAsia"/>
          <w:szCs w:val="32"/>
        </w:rPr>
        <w:t>部分 其他</w:t>
      </w:r>
      <w:r>
        <w:rPr>
          <w:rFonts w:hint="eastAsia"/>
          <w:szCs w:val="32"/>
          <w:lang w:val="en-US" w:eastAsia="zh-CN"/>
        </w:rPr>
        <w:t>响应</w:t>
      </w:r>
      <w:r>
        <w:rPr>
          <w:rFonts w:hint="eastAsia"/>
          <w:szCs w:val="32"/>
        </w:rPr>
        <w:t>文件(格式)</w:t>
      </w:r>
      <w:r>
        <w:tab/>
      </w:r>
      <w:r>
        <w:fldChar w:fldCharType="begin"/>
      </w:r>
      <w:r>
        <w:instrText xml:space="preserve"> PAGEREF _Toc13478 \h </w:instrText>
      </w:r>
      <w:r>
        <w:fldChar w:fldCharType="separate"/>
      </w:r>
      <w:r>
        <w:t>48</w:t>
      </w:r>
      <w:r>
        <w:fldChar w:fldCharType="end"/>
      </w:r>
      <w:r>
        <w:fldChar w:fldCharType="end"/>
      </w:r>
    </w:p>
    <w:p w14:paraId="69D92F16">
      <w:pPr>
        <w:pStyle w:val="13"/>
        <w:tabs>
          <w:tab w:val="right" w:leader="dot" w:pos="8306"/>
          <w:tab w:val="clear" w:pos="0"/>
        </w:tabs>
      </w:pPr>
      <w:r>
        <w:fldChar w:fldCharType="begin"/>
      </w:r>
      <w:r>
        <w:instrText xml:space="preserve"> HYPERLINK \l _Toc10407 </w:instrText>
      </w:r>
      <w:r>
        <w:fldChar w:fldCharType="separate"/>
      </w:r>
      <w:r>
        <w:rPr>
          <w:rFonts w:hint="eastAsia"/>
          <w:lang w:val="en-US" w:eastAsia="zh-CN"/>
        </w:rPr>
        <w:t>一、 磋商函</w:t>
      </w:r>
      <w:r>
        <w:tab/>
      </w:r>
      <w:r>
        <w:fldChar w:fldCharType="begin"/>
      </w:r>
      <w:r>
        <w:instrText xml:space="preserve"> PAGEREF _Toc10407 \h </w:instrText>
      </w:r>
      <w:r>
        <w:fldChar w:fldCharType="separate"/>
      </w:r>
      <w:r>
        <w:t>49</w:t>
      </w:r>
      <w:r>
        <w:fldChar w:fldCharType="end"/>
      </w:r>
      <w:r>
        <w:fldChar w:fldCharType="end"/>
      </w:r>
    </w:p>
    <w:p w14:paraId="6BA6F0B1">
      <w:pPr>
        <w:pStyle w:val="13"/>
        <w:tabs>
          <w:tab w:val="right" w:leader="dot" w:pos="8306"/>
          <w:tab w:val="clear" w:pos="0"/>
        </w:tabs>
      </w:pPr>
      <w:r>
        <w:fldChar w:fldCharType="begin"/>
      </w:r>
      <w:r>
        <w:instrText xml:space="preserve"> HYPERLINK \l _Toc1833 </w:instrText>
      </w:r>
      <w:r>
        <w:fldChar w:fldCharType="separate"/>
      </w:r>
      <w:r>
        <w:rPr>
          <w:rFonts w:hint="eastAsia" w:ascii="宋体" w:hAnsi="宋体" w:eastAsia="宋体"/>
          <w:lang w:val="en-US" w:eastAsia="zh-CN"/>
        </w:rPr>
        <w:t xml:space="preserve">二、 </w:t>
      </w:r>
      <w:r>
        <w:rPr>
          <w:rFonts w:hint="eastAsia"/>
          <w:highlight w:val="none"/>
          <w:lang w:val="en-US" w:eastAsia="zh-CN"/>
        </w:rPr>
        <w:t>实质性要求承诺</w:t>
      </w:r>
      <w:r>
        <w:tab/>
      </w:r>
      <w:r>
        <w:fldChar w:fldCharType="begin"/>
      </w:r>
      <w:r>
        <w:instrText xml:space="preserve"> PAGEREF _Toc1833 \h </w:instrText>
      </w:r>
      <w:r>
        <w:fldChar w:fldCharType="separate"/>
      </w:r>
      <w:r>
        <w:t>51</w:t>
      </w:r>
      <w:r>
        <w:fldChar w:fldCharType="end"/>
      </w:r>
      <w:r>
        <w:fldChar w:fldCharType="end"/>
      </w:r>
    </w:p>
    <w:p w14:paraId="1C3B3474">
      <w:pPr>
        <w:pStyle w:val="13"/>
        <w:tabs>
          <w:tab w:val="right" w:leader="dot" w:pos="8306"/>
          <w:tab w:val="clear" w:pos="0"/>
        </w:tabs>
      </w:pPr>
      <w:r>
        <w:fldChar w:fldCharType="begin"/>
      </w:r>
      <w:r>
        <w:instrText xml:space="preserve"> HYPERLINK \l _Toc20165 </w:instrText>
      </w:r>
      <w:r>
        <w:fldChar w:fldCharType="separate"/>
      </w:r>
      <w:r>
        <w:rPr>
          <w:rFonts w:hint="eastAsia"/>
          <w:lang w:val="en-US" w:eastAsia="zh-CN"/>
        </w:rPr>
        <w:t>三、 供应商基本情况表</w:t>
      </w:r>
      <w:r>
        <w:tab/>
      </w:r>
      <w:r>
        <w:fldChar w:fldCharType="begin"/>
      </w:r>
      <w:r>
        <w:instrText xml:space="preserve"> PAGEREF _Toc20165 \h </w:instrText>
      </w:r>
      <w:r>
        <w:fldChar w:fldCharType="separate"/>
      </w:r>
      <w:r>
        <w:t>53</w:t>
      </w:r>
      <w:r>
        <w:fldChar w:fldCharType="end"/>
      </w:r>
      <w:r>
        <w:fldChar w:fldCharType="end"/>
      </w:r>
    </w:p>
    <w:p w14:paraId="1C5F5DA9">
      <w:pPr>
        <w:pStyle w:val="13"/>
        <w:tabs>
          <w:tab w:val="right" w:leader="dot" w:pos="8306"/>
          <w:tab w:val="clear" w:pos="0"/>
        </w:tabs>
      </w:pPr>
      <w:r>
        <w:fldChar w:fldCharType="begin"/>
      </w:r>
      <w:r>
        <w:instrText xml:space="preserve"> HYPERLINK \l _Toc22139 </w:instrText>
      </w:r>
      <w:r>
        <w:fldChar w:fldCharType="separate"/>
      </w:r>
      <w:r>
        <w:rPr>
          <w:rFonts w:hint="eastAsia"/>
          <w:lang w:val="en-US" w:eastAsia="zh-CN"/>
        </w:rPr>
        <w:t>四、 商务应答表</w:t>
      </w:r>
      <w:r>
        <w:tab/>
      </w:r>
      <w:r>
        <w:fldChar w:fldCharType="begin"/>
      </w:r>
      <w:r>
        <w:instrText xml:space="preserve"> PAGEREF _Toc22139 \h </w:instrText>
      </w:r>
      <w:r>
        <w:fldChar w:fldCharType="separate"/>
      </w:r>
      <w:r>
        <w:t>54</w:t>
      </w:r>
      <w:r>
        <w:fldChar w:fldCharType="end"/>
      </w:r>
      <w:r>
        <w:fldChar w:fldCharType="end"/>
      </w:r>
    </w:p>
    <w:p w14:paraId="257EFC59">
      <w:pPr>
        <w:pStyle w:val="13"/>
        <w:tabs>
          <w:tab w:val="right" w:leader="dot" w:pos="8306"/>
          <w:tab w:val="clear" w:pos="0"/>
        </w:tabs>
      </w:pPr>
      <w:r>
        <w:fldChar w:fldCharType="begin"/>
      </w:r>
      <w:r>
        <w:instrText xml:space="preserve"> HYPERLINK \l _Toc19428 </w:instrText>
      </w:r>
      <w:r>
        <w:fldChar w:fldCharType="separate"/>
      </w:r>
      <w:r>
        <w:rPr>
          <w:rFonts w:hint="eastAsia"/>
          <w:lang w:val="en-US" w:eastAsia="zh-CN"/>
        </w:rPr>
        <w:t>五、 服务应答表</w:t>
      </w:r>
      <w:r>
        <w:tab/>
      </w:r>
      <w:r>
        <w:fldChar w:fldCharType="begin"/>
      </w:r>
      <w:r>
        <w:instrText xml:space="preserve"> PAGEREF _Toc19428 \h </w:instrText>
      </w:r>
      <w:r>
        <w:fldChar w:fldCharType="separate"/>
      </w:r>
      <w:r>
        <w:t>55</w:t>
      </w:r>
      <w:r>
        <w:fldChar w:fldCharType="end"/>
      </w:r>
      <w:r>
        <w:fldChar w:fldCharType="end"/>
      </w:r>
    </w:p>
    <w:p w14:paraId="059F3F3E">
      <w:pPr>
        <w:pStyle w:val="13"/>
        <w:tabs>
          <w:tab w:val="right" w:leader="dot" w:pos="8306"/>
          <w:tab w:val="clear" w:pos="0"/>
        </w:tabs>
      </w:pPr>
      <w:r>
        <w:fldChar w:fldCharType="begin"/>
      </w:r>
      <w:r>
        <w:instrText xml:space="preserve"> HYPERLINK \l _Toc3448 </w:instrText>
      </w:r>
      <w:r>
        <w:fldChar w:fldCharType="separate"/>
      </w:r>
      <w:r>
        <w:rPr>
          <w:rFonts w:hint="eastAsia"/>
          <w:lang w:val="en-US" w:eastAsia="zh-CN"/>
        </w:rPr>
        <w:t>六、 供应商针对本项目人员配置情况表</w:t>
      </w:r>
      <w:r>
        <w:tab/>
      </w:r>
      <w:r>
        <w:fldChar w:fldCharType="begin"/>
      </w:r>
      <w:r>
        <w:instrText xml:space="preserve"> PAGEREF _Toc3448 \h </w:instrText>
      </w:r>
      <w:r>
        <w:fldChar w:fldCharType="separate"/>
      </w:r>
      <w:r>
        <w:t>56</w:t>
      </w:r>
      <w:r>
        <w:fldChar w:fldCharType="end"/>
      </w:r>
      <w:r>
        <w:fldChar w:fldCharType="end"/>
      </w:r>
    </w:p>
    <w:p w14:paraId="38676D80">
      <w:pPr>
        <w:pStyle w:val="13"/>
        <w:tabs>
          <w:tab w:val="right" w:leader="dot" w:pos="8306"/>
          <w:tab w:val="clear" w:pos="0"/>
        </w:tabs>
      </w:pPr>
      <w:r>
        <w:fldChar w:fldCharType="begin"/>
      </w:r>
      <w:r>
        <w:instrText xml:space="preserve"> HYPERLINK \l _Toc19712 </w:instrText>
      </w:r>
      <w:r>
        <w:fldChar w:fldCharType="separate"/>
      </w:r>
      <w:r>
        <w:rPr>
          <w:rFonts w:hint="eastAsia" w:ascii="宋体" w:hAnsi="宋体" w:eastAsia="宋体"/>
          <w:lang w:val="en-US" w:eastAsia="zh-CN"/>
        </w:rPr>
        <w:t>七、 履约能力及相关证明</w:t>
      </w:r>
      <w:r>
        <w:tab/>
      </w:r>
      <w:r>
        <w:fldChar w:fldCharType="begin"/>
      </w:r>
      <w:r>
        <w:instrText xml:space="preserve"> PAGEREF _Toc19712 \h </w:instrText>
      </w:r>
      <w:r>
        <w:fldChar w:fldCharType="separate"/>
      </w:r>
      <w:r>
        <w:t>57</w:t>
      </w:r>
      <w:r>
        <w:fldChar w:fldCharType="end"/>
      </w:r>
      <w:r>
        <w:fldChar w:fldCharType="end"/>
      </w:r>
    </w:p>
    <w:p w14:paraId="3450014D">
      <w:pPr>
        <w:pStyle w:val="13"/>
        <w:tabs>
          <w:tab w:val="right" w:leader="dot" w:pos="8306"/>
          <w:tab w:val="clear" w:pos="0"/>
        </w:tabs>
      </w:pPr>
      <w:r>
        <w:fldChar w:fldCharType="begin"/>
      </w:r>
      <w:r>
        <w:instrText xml:space="preserve"> HYPERLINK \l _Toc1164 </w:instrText>
      </w:r>
      <w:r>
        <w:fldChar w:fldCharType="separate"/>
      </w:r>
      <w:r>
        <w:rPr>
          <w:rFonts w:hint="eastAsia" w:ascii="宋体" w:hAnsi="宋体" w:eastAsia="宋体"/>
          <w:lang w:val="en-US" w:eastAsia="zh-CN"/>
        </w:rPr>
        <w:t xml:space="preserve">八、 </w:t>
      </w:r>
      <w:r>
        <w:rPr>
          <w:rFonts w:hint="eastAsia"/>
          <w:lang w:val="en-US" w:eastAsia="zh-CN"/>
        </w:rPr>
        <w:t>实施方案</w:t>
      </w:r>
      <w:r>
        <w:tab/>
      </w:r>
      <w:r>
        <w:fldChar w:fldCharType="begin"/>
      </w:r>
      <w:r>
        <w:instrText xml:space="preserve"> PAGEREF _Toc1164 \h </w:instrText>
      </w:r>
      <w:r>
        <w:fldChar w:fldCharType="separate"/>
      </w:r>
      <w:r>
        <w:t>58</w:t>
      </w:r>
      <w:r>
        <w:fldChar w:fldCharType="end"/>
      </w:r>
      <w:r>
        <w:fldChar w:fldCharType="end"/>
      </w:r>
    </w:p>
    <w:p w14:paraId="0B9E2493">
      <w:pPr>
        <w:pStyle w:val="13"/>
        <w:tabs>
          <w:tab w:val="right" w:leader="dot" w:pos="8306"/>
          <w:tab w:val="clear" w:pos="0"/>
        </w:tabs>
      </w:pPr>
      <w:r>
        <w:fldChar w:fldCharType="begin"/>
      </w:r>
      <w:r>
        <w:instrText xml:space="preserve"> HYPERLINK \l _Toc12974 </w:instrText>
      </w:r>
      <w:r>
        <w:fldChar w:fldCharType="separate"/>
      </w:r>
      <w:r>
        <w:rPr>
          <w:rFonts w:hint="eastAsia" w:ascii="宋体" w:hAnsi="宋体" w:eastAsia="宋体"/>
        </w:rPr>
        <w:t xml:space="preserve">九、 </w:t>
      </w:r>
      <w:r>
        <w:rPr>
          <w:rFonts w:hint="eastAsia" w:ascii="宋体" w:hAnsi="宋体" w:eastAsia="宋体"/>
          <w:lang w:val="en-US" w:eastAsia="zh-CN"/>
        </w:rPr>
        <w:t>招标代理服务费承诺函</w:t>
      </w:r>
      <w:r>
        <w:tab/>
      </w:r>
      <w:r>
        <w:fldChar w:fldCharType="begin"/>
      </w:r>
      <w:r>
        <w:instrText xml:space="preserve"> PAGEREF _Toc12974 \h </w:instrText>
      </w:r>
      <w:r>
        <w:fldChar w:fldCharType="separate"/>
      </w:r>
      <w:r>
        <w:t>59</w:t>
      </w:r>
      <w:r>
        <w:fldChar w:fldCharType="end"/>
      </w:r>
      <w:r>
        <w:fldChar w:fldCharType="end"/>
      </w:r>
    </w:p>
    <w:p w14:paraId="0B26B41D">
      <w:pPr>
        <w:pStyle w:val="13"/>
        <w:tabs>
          <w:tab w:val="right" w:leader="dot" w:pos="8306"/>
          <w:tab w:val="clear" w:pos="0"/>
        </w:tabs>
      </w:pPr>
      <w:r>
        <w:fldChar w:fldCharType="begin"/>
      </w:r>
      <w:r>
        <w:instrText xml:space="preserve"> HYPERLINK \l _Toc17516 </w:instrText>
      </w:r>
      <w:r>
        <w:fldChar w:fldCharType="separate"/>
      </w:r>
      <w:r>
        <w:rPr>
          <w:rFonts w:hint="eastAsia" w:ascii="宋体" w:hAnsi="宋体" w:eastAsia="宋体"/>
          <w:lang w:val="en-US" w:eastAsia="zh-CN"/>
        </w:rPr>
        <w:t>十、 报价表</w:t>
      </w:r>
      <w:r>
        <w:tab/>
      </w:r>
      <w:r>
        <w:fldChar w:fldCharType="begin"/>
      </w:r>
      <w:r>
        <w:instrText xml:space="preserve"> PAGEREF _Toc17516 \h </w:instrText>
      </w:r>
      <w:r>
        <w:fldChar w:fldCharType="separate"/>
      </w:r>
      <w:r>
        <w:t>60</w:t>
      </w:r>
      <w:r>
        <w:fldChar w:fldCharType="end"/>
      </w:r>
      <w:r>
        <w:fldChar w:fldCharType="end"/>
      </w:r>
    </w:p>
    <w:p w14:paraId="190B42C8">
      <w:pPr>
        <w:pStyle w:val="17"/>
        <w:tabs>
          <w:tab w:val="right" w:leader="dot" w:pos="8306"/>
          <w:tab w:val="clear" w:pos="0"/>
          <w:tab w:val="clear" w:pos="9746"/>
        </w:tabs>
      </w:pPr>
      <w:r>
        <w:fldChar w:fldCharType="begin"/>
      </w:r>
      <w:r>
        <w:instrText xml:space="preserve"> HYPERLINK \l _Toc11124 </w:instrText>
      </w:r>
      <w:r>
        <w:fldChar w:fldCharType="separate"/>
      </w:r>
      <w:r>
        <w:rPr>
          <w:rFonts w:hint="eastAsia" w:ascii="宋体" w:hAnsi="宋体" w:eastAsia="宋体" w:cs="宋体"/>
          <w:lang w:val="en-US" w:eastAsia="zh-CN"/>
        </w:rPr>
        <w:t xml:space="preserve">第四章 </w:t>
      </w:r>
      <w:r>
        <w:rPr>
          <w:rFonts w:hint="eastAsia"/>
          <w:lang w:val="en-US" w:eastAsia="zh-CN"/>
        </w:rPr>
        <w:t>资格性审查内容</w:t>
      </w:r>
      <w:r>
        <w:tab/>
      </w:r>
      <w:r>
        <w:fldChar w:fldCharType="begin"/>
      </w:r>
      <w:r>
        <w:instrText xml:space="preserve"> PAGEREF _Toc11124 \h </w:instrText>
      </w:r>
      <w:r>
        <w:fldChar w:fldCharType="separate"/>
      </w:r>
      <w:r>
        <w:t>61</w:t>
      </w:r>
      <w:r>
        <w:fldChar w:fldCharType="end"/>
      </w:r>
      <w:r>
        <w:fldChar w:fldCharType="end"/>
      </w:r>
    </w:p>
    <w:p w14:paraId="19C1E85E">
      <w:pPr>
        <w:pStyle w:val="17"/>
        <w:tabs>
          <w:tab w:val="right" w:leader="dot" w:pos="8306"/>
          <w:tab w:val="clear" w:pos="0"/>
          <w:tab w:val="clear" w:pos="9746"/>
        </w:tabs>
      </w:pPr>
      <w:r>
        <w:fldChar w:fldCharType="begin"/>
      </w:r>
      <w:r>
        <w:instrText xml:space="preserve"> HYPERLINK \l _Toc3972 </w:instrText>
      </w:r>
      <w:r>
        <w:fldChar w:fldCharType="separate"/>
      </w:r>
      <w:r>
        <w:rPr>
          <w:rFonts w:hint="eastAsia" w:ascii="宋体" w:hAnsi="宋体" w:eastAsia="宋体" w:cs="宋体"/>
        </w:rPr>
        <w:t xml:space="preserve">第五章 </w:t>
      </w:r>
      <w:r>
        <w:rPr>
          <w:rFonts w:hint="eastAsia" w:asciiTheme="minorEastAsia" w:hAnsiTheme="minorEastAsia" w:eastAsiaTheme="minorEastAsia" w:cstheme="minorEastAsia"/>
          <w:szCs w:val="36"/>
          <w:highlight w:val="none"/>
          <w:lang w:val="en-US" w:eastAsia="zh-CN"/>
        </w:rPr>
        <w:t>采购项目技术、服务、合同内容条款及商务要求</w:t>
      </w:r>
      <w:r>
        <w:tab/>
      </w:r>
      <w:r>
        <w:fldChar w:fldCharType="begin"/>
      </w:r>
      <w:r>
        <w:instrText xml:space="preserve"> PAGEREF _Toc3972 \h </w:instrText>
      </w:r>
      <w:r>
        <w:fldChar w:fldCharType="separate"/>
      </w:r>
      <w:r>
        <w:t>65</w:t>
      </w:r>
      <w:r>
        <w:fldChar w:fldCharType="end"/>
      </w:r>
      <w:r>
        <w:fldChar w:fldCharType="end"/>
      </w:r>
    </w:p>
    <w:p w14:paraId="7BC573D8">
      <w:pPr>
        <w:pStyle w:val="22"/>
        <w:tabs>
          <w:tab w:val="right" w:leader="dot" w:pos="8306"/>
          <w:tab w:val="clear" w:pos="0"/>
        </w:tabs>
      </w:pPr>
      <w:r>
        <w:fldChar w:fldCharType="begin"/>
      </w:r>
      <w:r>
        <w:instrText xml:space="preserve"> HYPERLINK \l _Toc3595 </w:instrText>
      </w:r>
      <w:r>
        <w:fldChar w:fldCharType="separate"/>
      </w:r>
      <w:r>
        <w:rPr>
          <w:rFonts w:hint="eastAsia"/>
          <w:highlight w:val="none"/>
          <w:lang w:val="en-US" w:eastAsia="zh-CN"/>
        </w:rPr>
        <w:t>一、项目概况</w:t>
      </w:r>
      <w:r>
        <w:tab/>
      </w:r>
      <w:r>
        <w:fldChar w:fldCharType="begin"/>
      </w:r>
      <w:r>
        <w:instrText xml:space="preserve"> PAGEREF _Toc3595 \h </w:instrText>
      </w:r>
      <w:r>
        <w:fldChar w:fldCharType="separate"/>
      </w:r>
      <w:r>
        <w:t>65</w:t>
      </w:r>
      <w:r>
        <w:fldChar w:fldCharType="end"/>
      </w:r>
      <w:r>
        <w:fldChar w:fldCharType="end"/>
      </w:r>
    </w:p>
    <w:p w14:paraId="320E668F">
      <w:pPr>
        <w:pStyle w:val="22"/>
        <w:tabs>
          <w:tab w:val="right" w:leader="dot" w:pos="8306"/>
          <w:tab w:val="clear" w:pos="0"/>
        </w:tabs>
      </w:pPr>
      <w:r>
        <w:fldChar w:fldCharType="begin"/>
      </w:r>
      <w:r>
        <w:instrText xml:space="preserve"> HYPERLINK \l _Toc28606 </w:instrText>
      </w:r>
      <w:r>
        <w:fldChar w:fldCharType="separate"/>
      </w:r>
      <w:r>
        <w:rPr>
          <w:rFonts w:hint="eastAsia"/>
          <w:lang w:val="en-US" w:eastAsia="zh-CN"/>
        </w:rPr>
        <w:t>二、服务内容及服务要求</w:t>
      </w:r>
      <w:r>
        <w:tab/>
      </w:r>
      <w:r>
        <w:fldChar w:fldCharType="begin"/>
      </w:r>
      <w:r>
        <w:instrText xml:space="preserve"> PAGEREF _Toc28606 \h </w:instrText>
      </w:r>
      <w:r>
        <w:fldChar w:fldCharType="separate"/>
      </w:r>
      <w:r>
        <w:t>65</w:t>
      </w:r>
      <w:r>
        <w:fldChar w:fldCharType="end"/>
      </w:r>
      <w:r>
        <w:fldChar w:fldCharType="end"/>
      </w:r>
    </w:p>
    <w:p w14:paraId="2F2E6F2B">
      <w:pPr>
        <w:pStyle w:val="22"/>
        <w:tabs>
          <w:tab w:val="right" w:leader="dot" w:pos="8306"/>
          <w:tab w:val="clear" w:pos="0"/>
        </w:tabs>
      </w:pPr>
      <w:r>
        <w:fldChar w:fldCharType="begin"/>
      </w:r>
      <w:r>
        <w:instrText xml:space="preserve"> HYPERLINK \l _Toc23170 </w:instrText>
      </w:r>
      <w:r>
        <w:fldChar w:fldCharType="separate"/>
      </w:r>
      <w:r>
        <w:rPr>
          <w:rFonts w:hint="eastAsia" w:asciiTheme="minorEastAsia" w:hAnsiTheme="minorEastAsia" w:eastAsiaTheme="minorEastAsia" w:cstheme="minorEastAsia"/>
          <w:bCs/>
          <w:szCs w:val="24"/>
          <w:lang w:val="en-US" w:eastAsia="zh-CN"/>
        </w:rPr>
        <w:t>三、履约能力要求</w:t>
      </w:r>
      <w:r>
        <w:tab/>
      </w:r>
      <w:r>
        <w:fldChar w:fldCharType="begin"/>
      </w:r>
      <w:r>
        <w:instrText xml:space="preserve"> PAGEREF _Toc23170 \h </w:instrText>
      </w:r>
      <w:r>
        <w:fldChar w:fldCharType="separate"/>
      </w:r>
      <w:r>
        <w:t>70</w:t>
      </w:r>
      <w:r>
        <w:fldChar w:fldCharType="end"/>
      </w:r>
      <w:r>
        <w:fldChar w:fldCharType="end"/>
      </w:r>
    </w:p>
    <w:p w14:paraId="7A61E159">
      <w:pPr>
        <w:pStyle w:val="22"/>
        <w:tabs>
          <w:tab w:val="right" w:leader="dot" w:pos="8306"/>
          <w:tab w:val="clear" w:pos="0"/>
        </w:tabs>
      </w:pPr>
      <w:r>
        <w:fldChar w:fldCharType="begin"/>
      </w:r>
      <w:r>
        <w:instrText xml:space="preserve"> HYPERLINK \l _Toc13196 </w:instrText>
      </w:r>
      <w:r>
        <w:fldChar w:fldCharType="separate"/>
      </w:r>
      <w:r>
        <w:rPr>
          <w:rFonts w:hint="eastAsia"/>
          <w:lang w:val="en-US" w:eastAsia="zh-CN"/>
        </w:rPr>
        <w:t>四、</w:t>
      </w:r>
      <w:r>
        <w:rPr>
          <w:rFonts w:hint="eastAsia"/>
          <w:bCs/>
          <w:lang w:val="en-US" w:eastAsia="zh-CN"/>
        </w:rPr>
        <w:t>★</w:t>
      </w:r>
      <w:r>
        <w:rPr>
          <w:rFonts w:hint="eastAsia"/>
          <w:lang w:val="en-US" w:eastAsia="zh-CN"/>
        </w:rPr>
        <w:t>商务要求</w:t>
      </w:r>
      <w:r>
        <w:tab/>
      </w:r>
      <w:r>
        <w:fldChar w:fldCharType="begin"/>
      </w:r>
      <w:r>
        <w:instrText xml:space="preserve"> PAGEREF _Toc13196 \h </w:instrText>
      </w:r>
      <w:r>
        <w:fldChar w:fldCharType="separate"/>
      </w:r>
      <w:r>
        <w:t>71</w:t>
      </w:r>
      <w:r>
        <w:fldChar w:fldCharType="end"/>
      </w:r>
      <w:r>
        <w:fldChar w:fldCharType="end"/>
      </w:r>
    </w:p>
    <w:p w14:paraId="4925CA4E">
      <w:pPr>
        <w:pStyle w:val="22"/>
        <w:tabs>
          <w:tab w:val="right" w:leader="dot" w:pos="8306"/>
          <w:tab w:val="clear" w:pos="0"/>
        </w:tabs>
      </w:pPr>
      <w:r>
        <w:fldChar w:fldCharType="begin"/>
      </w:r>
      <w:r>
        <w:instrText xml:space="preserve"> HYPERLINK \l _Toc16791 </w:instrText>
      </w:r>
      <w:r>
        <w:fldChar w:fldCharType="separate"/>
      </w:r>
      <w:r>
        <w:rPr>
          <w:rFonts w:hint="eastAsia" w:asciiTheme="minorEastAsia" w:hAnsiTheme="minorEastAsia" w:eastAsiaTheme="minorEastAsia" w:cstheme="minorEastAsia"/>
          <w:bCs/>
          <w:szCs w:val="24"/>
          <w:lang w:val="en-US" w:eastAsia="zh-CN"/>
        </w:rPr>
        <w:t>（一） 服务期限和地点：</w:t>
      </w:r>
      <w:r>
        <w:tab/>
      </w:r>
      <w:r>
        <w:fldChar w:fldCharType="begin"/>
      </w:r>
      <w:r>
        <w:instrText xml:space="preserve"> PAGEREF _Toc16791 \h </w:instrText>
      </w:r>
      <w:r>
        <w:fldChar w:fldCharType="separate"/>
      </w:r>
      <w:r>
        <w:t>71</w:t>
      </w:r>
      <w:r>
        <w:fldChar w:fldCharType="end"/>
      </w:r>
      <w:r>
        <w:fldChar w:fldCharType="end"/>
      </w:r>
    </w:p>
    <w:p w14:paraId="07330133">
      <w:pPr>
        <w:pStyle w:val="22"/>
        <w:tabs>
          <w:tab w:val="right" w:leader="dot" w:pos="8306"/>
          <w:tab w:val="clear" w:pos="0"/>
        </w:tabs>
      </w:pPr>
      <w:r>
        <w:fldChar w:fldCharType="begin"/>
      </w:r>
      <w:r>
        <w:instrText xml:space="preserve"> HYPERLINK \l _Toc23658 </w:instrText>
      </w:r>
      <w:r>
        <w:fldChar w:fldCharType="separate"/>
      </w:r>
      <w:r>
        <w:rPr>
          <w:rFonts w:hint="eastAsia" w:asciiTheme="minorEastAsia" w:hAnsiTheme="minorEastAsia" w:eastAsiaTheme="minorEastAsia" w:cstheme="minorEastAsia"/>
          <w:bCs/>
          <w:szCs w:val="24"/>
          <w:lang w:val="en-US" w:eastAsia="zh-CN"/>
        </w:rPr>
        <w:t>（二） 付款方式</w:t>
      </w:r>
      <w:r>
        <w:tab/>
      </w:r>
      <w:r>
        <w:fldChar w:fldCharType="begin"/>
      </w:r>
      <w:r>
        <w:instrText xml:space="preserve"> PAGEREF _Toc23658 \h </w:instrText>
      </w:r>
      <w:r>
        <w:fldChar w:fldCharType="separate"/>
      </w:r>
      <w:r>
        <w:t>71</w:t>
      </w:r>
      <w:r>
        <w:fldChar w:fldCharType="end"/>
      </w:r>
      <w:r>
        <w:fldChar w:fldCharType="end"/>
      </w:r>
    </w:p>
    <w:p w14:paraId="2B0DAD5D">
      <w:pPr>
        <w:pStyle w:val="22"/>
        <w:tabs>
          <w:tab w:val="right" w:leader="dot" w:pos="8306"/>
          <w:tab w:val="clear" w:pos="0"/>
        </w:tabs>
      </w:pPr>
      <w:r>
        <w:fldChar w:fldCharType="begin"/>
      </w:r>
      <w:r>
        <w:instrText xml:space="preserve"> HYPERLINK \l _Toc19398 </w:instrText>
      </w:r>
      <w:r>
        <w:fldChar w:fldCharType="separate"/>
      </w:r>
      <w:r>
        <w:rPr>
          <w:rFonts w:hint="eastAsia" w:asciiTheme="minorEastAsia" w:hAnsiTheme="minorEastAsia" w:eastAsiaTheme="minorEastAsia" w:cstheme="minorEastAsia"/>
          <w:bCs/>
          <w:szCs w:val="24"/>
          <w:lang w:val="en-US" w:eastAsia="zh-CN"/>
        </w:rPr>
        <w:t>（三） 保险</w:t>
      </w:r>
      <w:r>
        <w:tab/>
      </w:r>
      <w:r>
        <w:fldChar w:fldCharType="begin"/>
      </w:r>
      <w:r>
        <w:instrText xml:space="preserve"> PAGEREF _Toc19398 \h </w:instrText>
      </w:r>
      <w:r>
        <w:fldChar w:fldCharType="separate"/>
      </w:r>
      <w:r>
        <w:t>71</w:t>
      </w:r>
      <w:r>
        <w:fldChar w:fldCharType="end"/>
      </w:r>
      <w:r>
        <w:fldChar w:fldCharType="end"/>
      </w:r>
    </w:p>
    <w:p w14:paraId="636ACF27">
      <w:pPr>
        <w:pStyle w:val="22"/>
        <w:tabs>
          <w:tab w:val="right" w:leader="dot" w:pos="8306"/>
          <w:tab w:val="clear" w:pos="0"/>
        </w:tabs>
      </w:pPr>
      <w:r>
        <w:fldChar w:fldCharType="begin"/>
      </w:r>
      <w:r>
        <w:instrText xml:space="preserve"> HYPERLINK \l _Toc21032 </w:instrText>
      </w:r>
      <w:r>
        <w:fldChar w:fldCharType="separate"/>
      </w:r>
      <w:r>
        <w:rPr>
          <w:rFonts w:hint="eastAsia" w:asciiTheme="minorEastAsia" w:hAnsiTheme="minorEastAsia" w:eastAsiaTheme="minorEastAsia" w:cstheme="minorEastAsia"/>
          <w:bCs/>
          <w:szCs w:val="24"/>
          <w:lang w:val="en-US" w:eastAsia="zh-CN"/>
        </w:rPr>
        <w:t>（四） 项目验收方法和标准</w:t>
      </w:r>
      <w:r>
        <w:tab/>
      </w:r>
      <w:r>
        <w:fldChar w:fldCharType="begin"/>
      </w:r>
      <w:r>
        <w:instrText xml:space="preserve"> PAGEREF _Toc21032 \h </w:instrText>
      </w:r>
      <w:r>
        <w:fldChar w:fldCharType="separate"/>
      </w:r>
      <w:r>
        <w:t>71</w:t>
      </w:r>
      <w:r>
        <w:fldChar w:fldCharType="end"/>
      </w:r>
      <w:r>
        <w:fldChar w:fldCharType="end"/>
      </w:r>
    </w:p>
    <w:p w14:paraId="47063D4C">
      <w:pPr>
        <w:pStyle w:val="22"/>
        <w:tabs>
          <w:tab w:val="right" w:leader="dot" w:pos="8306"/>
          <w:tab w:val="clear" w:pos="0"/>
        </w:tabs>
      </w:pPr>
      <w:r>
        <w:fldChar w:fldCharType="begin"/>
      </w:r>
      <w:r>
        <w:instrText xml:space="preserve"> HYPERLINK \l _Toc17879 </w:instrText>
      </w:r>
      <w:r>
        <w:fldChar w:fldCharType="separate"/>
      </w:r>
      <w:r>
        <w:rPr>
          <w:rFonts w:hint="eastAsia" w:asciiTheme="minorEastAsia" w:hAnsiTheme="minorEastAsia" w:eastAsiaTheme="minorEastAsia" w:cstheme="minorEastAsia"/>
          <w:bCs/>
          <w:szCs w:val="24"/>
          <w:lang w:val="en-US" w:eastAsia="zh-CN"/>
        </w:rPr>
        <w:t>（五） 成本补偿和风险分担约定</w:t>
      </w:r>
      <w:r>
        <w:tab/>
      </w:r>
      <w:r>
        <w:fldChar w:fldCharType="begin"/>
      </w:r>
      <w:r>
        <w:instrText xml:space="preserve"> PAGEREF _Toc17879 \h </w:instrText>
      </w:r>
      <w:r>
        <w:fldChar w:fldCharType="separate"/>
      </w:r>
      <w:r>
        <w:t>73</w:t>
      </w:r>
      <w:r>
        <w:fldChar w:fldCharType="end"/>
      </w:r>
      <w:r>
        <w:fldChar w:fldCharType="end"/>
      </w:r>
    </w:p>
    <w:p w14:paraId="0809F246">
      <w:pPr>
        <w:pStyle w:val="22"/>
        <w:tabs>
          <w:tab w:val="right" w:leader="dot" w:pos="8306"/>
          <w:tab w:val="clear" w:pos="0"/>
        </w:tabs>
      </w:pPr>
      <w:r>
        <w:fldChar w:fldCharType="begin"/>
      </w:r>
      <w:r>
        <w:instrText xml:space="preserve"> HYPERLINK \l _Toc2486 </w:instrText>
      </w:r>
      <w:r>
        <w:fldChar w:fldCharType="separate"/>
      </w:r>
      <w:r>
        <w:rPr>
          <w:rFonts w:hint="eastAsia" w:asciiTheme="minorEastAsia" w:hAnsiTheme="minorEastAsia" w:eastAsiaTheme="minorEastAsia" w:cstheme="minorEastAsia"/>
          <w:bCs/>
          <w:szCs w:val="24"/>
          <w:lang w:val="en-US" w:eastAsia="zh-CN"/>
        </w:rPr>
        <w:t>（六） 其他要求</w:t>
      </w:r>
      <w:r>
        <w:tab/>
      </w:r>
      <w:r>
        <w:fldChar w:fldCharType="begin"/>
      </w:r>
      <w:r>
        <w:instrText xml:space="preserve"> PAGEREF _Toc2486 \h </w:instrText>
      </w:r>
      <w:r>
        <w:fldChar w:fldCharType="separate"/>
      </w:r>
      <w:r>
        <w:t>73</w:t>
      </w:r>
      <w:r>
        <w:fldChar w:fldCharType="end"/>
      </w:r>
      <w:r>
        <w:fldChar w:fldCharType="end"/>
      </w:r>
    </w:p>
    <w:p w14:paraId="4E6E558F">
      <w:pPr>
        <w:pStyle w:val="17"/>
        <w:tabs>
          <w:tab w:val="right" w:leader="dot" w:pos="8306"/>
          <w:tab w:val="clear" w:pos="0"/>
          <w:tab w:val="clear" w:pos="9746"/>
        </w:tabs>
      </w:pPr>
      <w:r>
        <w:fldChar w:fldCharType="begin"/>
      </w:r>
      <w:r>
        <w:instrText xml:space="preserve"> HYPERLINK \l _Toc1793 </w:instrText>
      </w:r>
      <w:r>
        <w:fldChar w:fldCharType="separate"/>
      </w:r>
      <w:r>
        <w:rPr>
          <w:rFonts w:hint="eastAsia" w:ascii="宋体" w:hAnsi="宋体" w:eastAsia="宋体" w:cs="宋体"/>
          <w:lang w:val="en-US" w:eastAsia="zh-CN"/>
        </w:rPr>
        <w:t xml:space="preserve">第六章 </w:t>
      </w:r>
      <w:r>
        <w:rPr>
          <w:rFonts w:hint="eastAsia"/>
          <w:lang w:val="en-US" w:eastAsia="zh-CN"/>
        </w:rPr>
        <w:t>磋商内容、磋商过程中可实质性变动的内容</w:t>
      </w:r>
      <w:r>
        <w:tab/>
      </w:r>
      <w:r>
        <w:fldChar w:fldCharType="begin"/>
      </w:r>
      <w:r>
        <w:instrText xml:space="preserve"> PAGEREF _Toc1793 \h </w:instrText>
      </w:r>
      <w:r>
        <w:fldChar w:fldCharType="separate"/>
      </w:r>
      <w:r>
        <w:t>74</w:t>
      </w:r>
      <w:r>
        <w:fldChar w:fldCharType="end"/>
      </w:r>
      <w:r>
        <w:fldChar w:fldCharType="end"/>
      </w:r>
    </w:p>
    <w:p w14:paraId="034C4F11">
      <w:pPr>
        <w:pStyle w:val="17"/>
        <w:tabs>
          <w:tab w:val="right" w:leader="dot" w:pos="8306"/>
          <w:tab w:val="clear" w:pos="0"/>
          <w:tab w:val="clear" w:pos="9746"/>
        </w:tabs>
      </w:pPr>
      <w:r>
        <w:fldChar w:fldCharType="begin"/>
      </w:r>
      <w:r>
        <w:instrText xml:space="preserve"> HYPERLINK \l _Toc859 </w:instrText>
      </w:r>
      <w:r>
        <w:fldChar w:fldCharType="separate"/>
      </w:r>
      <w:r>
        <w:rPr>
          <w:rFonts w:hint="eastAsia" w:ascii="宋体" w:hAnsi="宋体" w:eastAsia="宋体" w:cs="宋体"/>
        </w:rPr>
        <w:t xml:space="preserve">第七章 </w:t>
      </w:r>
      <w:r>
        <w:rPr>
          <w:rFonts w:hint="eastAsia"/>
          <w:lang w:val="en-US" w:eastAsia="zh-CN"/>
        </w:rPr>
        <w:t>磋商程序</w:t>
      </w:r>
      <w:r>
        <w:tab/>
      </w:r>
      <w:r>
        <w:fldChar w:fldCharType="begin"/>
      </w:r>
      <w:r>
        <w:instrText xml:space="preserve"> PAGEREF _Toc859 \h </w:instrText>
      </w:r>
      <w:r>
        <w:fldChar w:fldCharType="separate"/>
      </w:r>
      <w:r>
        <w:t>75</w:t>
      </w:r>
      <w:r>
        <w:fldChar w:fldCharType="end"/>
      </w:r>
      <w:r>
        <w:fldChar w:fldCharType="end"/>
      </w:r>
    </w:p>
    <w:p w14:paraId="4004B289">
      <w:pPr>
        <w:pStyle w:val="22"/>
        <w:tabs>
          <w:tab w:val="right" w:leader="dot" w:pos="8306"/>
          <w:tab w:val="clear" w:pos="0"/>
        </w:tabs>
      </w:pPr>
      <w:r>
        <w:fldChar w:fldCharType="begin"/>
      </w:r>
      <w:r>
        <w:instrText xml:space="preserve"> HYPERLINK \l _Toc1227 </w:instrText>
      </w:r>
      <w:r>
        <w:fldChar w:fldCharType="separate"/>
      </w:r>
      <w:r>
        <w:rPr>
          <w:rFonts w:hint="eastAsia" w:ascii="宋体" w:hAnsi="宋体" w:eastAsia="宋体" w:cs="宋体"/>
        </w:rPr>
        <w:t xml:space="preserve">一、 </w:t>
      </w:r>
      <w:r>
        <w:rPr>
          <w:rFonts w:hint="eastAsia"/>
        </w:rPr>
        <w:t>磋商小组及专家组成</w:t>
      </w:r>
      <w:r>
        <w:tab/>
      </w:r>
      <w:r>
        <w:fldChar w:fldCharType="begin"/>
      </w:r>
      <w:r>
        <w:instrText xml:space="preserve"> PAGEREF _Toc1227 \h </w:instrText>
      </w:r>
      <w:r>
        <w:fldChar w:fldCharType="separate"/>
      </w:r>
      <w:r>
        <w:t>75</w:t>
      </w:r>
      <w:r>
        <w:fldChar w:fldCharType="end"/>
      </w:r>
      <w:r>
        <w:fldChar w:fldCharType="end"/>
      </w:r>
    </w:p>
    <w:p w14:paraId="19321C55">
      <w:pPr>
        <w:pStyle w:val="22"/>
        <w:tabs>
          <w:tab w:val="right" w:leader="dot" w:pos="8306"/>
          <w:tab w:val="clear" w:pos="0"/>
        </w:tabs>
      </w:pPr>
      <w:r>
        <w:fldChar w:fldCharType="begin"/>
      </w:r>
      <w:r>
        <w:instrText xml:space="preserve"> HYPERLINK \l _Toc25456 </w:instrText>
      </w:r>
      <w:r>
        <w:fldChar w:fldCharType="separate"/>
      </w:r>
      <w:r>
        <w:rPr>
          <w:rFonts w:hint="eastAsia" w:ascii="宋体" w:hAnsi="宋体" w:eastAsia="宋体" w:cs="宋体"/>
        </w:rPr>
        <w:t xml:space="preserve">二、 </w:t>
      </w:r>
      <w:r>
        <w:rPr>
          <w:rFonts w:hint="eastAsia"/>
        </w:rPr>
        <w:t>磋商组织</w:t>
      </w:r>
      <w:r>
        <w:tab/>
      </w:r>
      <w:r>
        <w:fldChar w:fldCharType="begin"/>
      </w:r>
      <w:r>
        <w:instrText xml:space="preserve"> PAGEREF _Toc25456 \h </w:instrText>
      </w:r>
      <w:r>
        <w:fldChar w:fldCharType="separate"/>
      </w:r>
      <w:r>
        <w:t>75</w:t>
      </w:r>
      <w:r>
        <w:fldChar w:fldCharType="end"/>
      </w:r>
      <w:r>
        <w:fldChar w:fldCharType="end"/>
      </w:r>
    </w:p>
    <w:p w14:paraId="2385B84F">
      <w:pPr>
        <w:pStyle w:val="22"/>
        <w:tabs>
          <w:tab w:val="right" w:leader="dot" w:pos="8306"/>
          <w:tab w:val="clear" w:pos="0"/>
        </w:tabs>
      </w:pPr>
      <w:r>
        <w:fldChar w:fldCharType="begin"/>
      </w:r>
      <w:r>
        <w:instrText xml:space="preserve"> HYPERLINK \l _Toc2902 </w:instrText>
      </w:r>
      <w:r>
        <w:fldChar w:fldCharType="separate"/>
      </w:r>
      <w:r>
        <w:rPr>
          <w:rFonts w:hint="eastAsia" w:ascii="宋体" w:hAnsi="宋体" w:eastAsia="宋体" w:cs="宋体"/>
        </w:rPr>
        <w:t xml:space="preserve">三、 </w:t>
      </w:r>
      <w:r>
        <w:rPr>
          <w:rFonts w:hint="eastAsia"/>
          <w:lang w:val="en-US" w:eastAsia="zh-CN"/>
        </w:rPr>
        <w:t>评审</w:t>
      </w:r>
      <w:r>
        <w:rPr>
          <w:rFonts w:hint="eastAsia"/>
        </w:rPr>
        <w:t>程序</w:t>
      </w:r>
      <w:r>
        <w:tab/>
      </w:r>
      <w:r>
        <w:fldChar w:fldCharType="begin"/>
      </w:r>
      <w:r>
        <w:instrText xml:space="preserve"> PAGEREF _Toc2902 \h </w:instrText>
      </w:r>
      <w:r>
        <w:fldChar w:fldCharType="separate"/>
      </w:r>
      <w:r>
        <w:t>76</w:t>
      </w:r>
      <w:r>
        <w:fldChar w:fldCharType="end"/>
      </w:r>
      <w:r>
        <w:fldChar w:fldCharType="end"/>
      </w:r>
    </w:p>
    <w:p w14:paraId="519079BF">
      <w:pPr>
        <w:pStyle w:val="13"/>
        <w:tabs>
          <w:tab w:val="right" w:leader="dot" w:pos="8306"/>
          <w:tab w:val="clear" w:pos="0"/>
        </w:tabs>
      </w:pPr>
      <w:r>
        <w:fldChar w:fldCharType="begin"/>
      </w:r>
      <w:r>
        <w:instrText xml:space="preserve"> HYPERLINK \l _Toc16914 </w:instrText>
      </w:r>
      <w:r>
        <w:fldChar w:fldCharType="separate"/>
      </w:r>
      <w:r>
        <w:rPr>
          <w:rFonts w:hint="eastAsia" w:ascii="宋体" w:hAnsi="宋体" w:eastAsia="宋体" w:cs="宋体"/>
          <w:lang w:val="en-US" w:eastAsia="zh-CN"/>
        </w:rPr>
        <w:t xml:space="preserve">(一) </w:t>
      </w:r>
      <w:r>
        <w:rPr>
          <w:rFonts w:hint="eastAsia"/>
          <w:lang w:val="en-US" w:eastAsia="zh-CN"/>
        </w:rPr>
        <w:t>供应商资格审查</w:t>
      </w:r>
      <w:r>
        <w:tab/>
      </w:r>
      <w:r>
        <w:fldChar w:fldCharType="begin"/>
      </w:r>
      <w:r>
        <w:instrText xml:space="preserve"> PAGEREF _Toc16914 \h </w:instrText>
      </w:r>
      <w:r>
        <w:fldChar w:fldCharType="separate"/>
      </w:r>
      <w:r>
        <w:t>76</w:t>
      </w:r>
      <w:r>
        <w:fldChar w:fldCharType="end"/>
      </w:r>
      <w:r>
        <w:fldChar w:fldCharType="end"/>
      </w:r>
    </w:p>
    <w:p w14:paraId="1F99FCFF">
      <w:pPr>
        <w:pStyle w:val="13"/>
        <w:tabs>
          <w:tab w:val="right" w:leader="dot" w:pos="8306"/>
          <w:tab w:val="clear" w:pos="0"/>
        </w:tabs>
      </w:pPr>
      <w:r>
        <w:fldChar w:fldCharType="begin"/>
      </w:r>
      <w:r>
        <w:instrText xml:space="preserve"> HYPERLINK \l _Toc25794 </w:instrText>
      </w:r>
      <w:r>
        <w:fldChar w:fldCharType="separate"/>
      </w:r>
      <w:r>
        <w:rPr>
          <w:rFonts w:hint="eastAsia" w:ascii="宋体" w:hAnsi="宋体" w:eastAsia="宋体" w:cs="宋体"/>
          <w:lang w:val="en-US" w:eastAsia="zh-CN"/>
        </w:rPr>
        <w:t xml:space="preserve">(二) </w:t>
      </w:r>
      <w:r>
        <w:rPr>
          <w:rFonts w:hint="eastAsia"/>
          <w:lang w:val="en-US" w:eastAsia="zh-CN"/>
        </w:rPr>
        <w:t>磋商</w:t>
      </w:r>
      <w:r>
        <w:tab/>
      </w:r>
      <w:r>
        <w:fldChar w:fldCharType="begin"/>
      </w:r>
      <w:r>
        <w:instrText xml:space="preserve"> PAGEREF _Toc25794 \h </w:instrText>
      </w:r>
      <w:r>
        <w:fldChar w:fldCharType="separate"/>
      </w:r>
      <w:r>
        <w:t>76</w:t>
      </w:r>
      <w:r>
        <w:fldChar w:fldCharType="end"/>
      </w:r>
      <w:r>
        <w:fldChar w:fldCharType="end"/>
      </w:r>
    </w:p>
    <w:p w14:paraId="01D79396">
      <w:pPr>
        <w:pStyle w:val="13"/>
        <w:tabs>
          <w:tab w:val="right" w:leader="dot" w:pos="8306"/>
          <w:tab w:val="clear" w:pos="0"/>
        </w:tabs>
      </w:pPr>
      <w:r>
        <w:fldChar w:fldCharType="begin"/>
      </w:r>
      <w:r>
        <w:instrText xml:space="preserve"> HYPERLINK \l _Toc29047 </w:instrText>
      </w:r>
      <w:r>
        <w:fldChar w:fldCharType="separate"/>
      </w:r>
      <w:r>
        <w:rPr>
          <w:rFonts w:hint="eastAsia" w:ascii="宋体" w:hAnsi="宋体" w:eastAsia="宋体" w:cs="宋体"/>
          <w:lang w:val="en-US" w:eastAsia="zh-CN"/>
        </w:rPr>
        <w:t xml:space="preserve">(三) </w:t>
      </w:r>
      <w:r>
        <w:rPr>
          <w:rFonts w:hint="eastAsia"/>
          <w:lang w:val="en-US" w:eastAsia="zh-CN"/>
        </w:rPr>
        <w:t>采购活动终止</w:t>
      </w:r>
      <w:r>
        <w:tab/>
      </w:r>
      <w:r>
        <w:fldChar w:fldCharType="begin"/>
      </w:r>
      <w:r>
        <w:instrText xml:space="preserve"> PAGEREF _Toc29047 \h </w:instrText>
      </w:r>
      <w:r>
        <w:fldChar w:fldCharType="separate"/>
      </w:r>
      <w:r>
        <w:t>79</w:t>
      </w:r>
      <w:r>
        <w:fldChar w:fldCharType="end"/>
      </w:r>
      <w:r>
        <w:fldChar w:fldCharType="end"/>
      </w:r>
    </w:p>
    <w:p w14:paraId="2D68F666">
      <w:pPr>
        <w:pStyle w:val="13"/>
        <w:tabs>
          <w:tab w:val="right" w:leader="dot" w:pos="8306"/>
          <w:tab w:val="clear" w:pos="0"/>
        </w:tabs>
      </w:pPr>
      <w:r>
        <w:fldChar w:fldCharType="begin"/>
      </w:r>
      <w:r>
        <w:instrText xml:space="preserve"> HYPERLINK \l _Toc20666 </w:instrText>
      </w:r>
      <w:r>
        <w:fldChar w:fldCharType="separate"/>
      </w:r>
      <w:r>
        <w:rPr>
          <w:rFonts w:hint="eastAsia" w:ascii="宋体" w:hAnsi="宋体" w:eastAsia="宋体" w:cs="宋体"/>
          <w:lang w:val="en-US" w:eastAsia="zh-CN"/>
        </w:rPr>
        <w:t xml:space="preserve">(四) </w:t>
      </w:r>
      <w:r>
        <w:rPr>
          <w:rFonts w:hint="eastAsia"/>
          <w:lang w:val="en-US" w:eastAsia="zh-CN"/>
        </w:rPr>
        <w:t>报价</w:t>
      </w:r>
      <w:r>
        <w:tab/>
      </w:r>
      <w:r>
        <w:fldChar w:fldCharType="begin"/>
      </w:r>
      <w:r>
        <w:instrText xml:space="preserve"> PAGEREF _Toc20666 \h </w:instrText>
      </w:r>
      <w:r>
        <w:fldChar w:fldCharType="separate"/>
      </w:r>
      <w:r>
        <w:t>79</w:t>
      </w:r>
      <w:r>
        <w:fldChar w:fldCharType="end"/>
      </w:r>
      <w:r>
        <w:fldChar w:fldCharType="end"/>
      </w:r>
    </w:p>
    <w:p w14:paraId="45B538E7">
      <w:pPr>
        <w:pStyle w:val="13"/>
        <w:tabs>
          <w:tab w:val="right" w:leader="dot" w:pos="8306"/>
          <w:tab w:val="clear" w:pos="0"/>
        </w:tabs>
      </w:pPr>
      <w:r>
        <w:fldChar w:fldCharType="begin"/>
      </w:r>
      <w:r>
        <w:instrText xml:space="preserve"> HYPERLINK \l _Toc14272 </w:instrText>
      </w:r>
      <w:r>
        <w:fldChar w:fldCharType="separate"/>
      </w:r>
      <w:r>
        <w:rPr>
          <w:rFonts w:hint="eastAsia" w:ascii="宋体" w:hAnsi="宋体" w:eastAsia="宋体" w:cs="宋体"/>
          <w:lang w:val="en-US" w:eastAsia="zh-CN"/>
        </w:rPr>
        <w:t xml:space="preserve">(五) </w:t>
      </w:r>
      <w:r>
        <w:rPr>
          <w:rFonts w:hint="eastAsia"/>
          <w:lang w:val="en-US" w:eastAsia="zh-CN"/>
        </w:rPr>
        <w:t>评审方法</w:t>
      </w:r>
      <w:r>
        <w:tab/>
      </w:r>
      <w:r>
        <w:fldChar w:fldCharType="begin"/>
      </w:r>
      <w:r>
        <w:instrText xml:space="preserve"> PAGEREF _Toc14272 \h </w:instrText>
      </w:r>
      <w:r>
        <w:fldChar w:fldCharType="separate"/>
      </w:r>
      <w:r>
        <w:t>80</w:t>
      </w:r>
      <w:r>
        <w:fldChar w:fldCharType="end"/>
      </w:r>
      <w:r>
        <w:fldChar w:fldCharType="end"/>
      </w:r>
    </w:p>
    <w:p w14:paraId="6E5465EB">
      <w:pPr>
        <w:pStyle w:val="13"/>
        <w:tabs>
          <w:tab w:val="right" w:leader="dot" w:pos="8306"/>
          <w:tab w:val="clear" w:pos="0"/>
        </w:tabs>
      </w:pPr>
      <w:r>
        <w:fldChar w:fldCharType="begin"/>
      </w:r>
      <w:r>
        <w:instrText xml:space="preserve"> HYPERLINK \l _Toc30066 </w:instrText>
      </w:r>
      <w:r>
        <w:fldChar w:fldCharType="separate"/>
      </w:r>
      <w:r>
        <w:rPr>
          <w:rFonts w:hint="eastAsia" w:ascii="宋体" w:hAnsi="宋体" w:eastAsia="宋体" w:cs="宋体"/>
          <w:lang w:val="en-US" w:eastAsia="zh-CN"/>
        </w:rPr>
        <w:t xml:space="preserve">(六) </w:t>
      </w:r>
      <w:r>
        <w:rPr>
          <w:rFonts w:hint="eastAsia"/>
          <w:highlight w:val="none"/>
          <w:lang w:val="en-US" w:eastAsia="zh-CN"/>
        </w:rPr>
        <w:t>评审标准</w:t>
      </w:r>
      <w:r>
        <w:tab/>
      </w:r>
      <w:r>
        <w:fldChar w:fldCharType="begin"/>
      </w:r>
      <w:r>
        <w:instrText xml:space="preserve"> PAGEREF _Toc30066 \h </w:instrText>
      </w:r>
      <w:r>
        <w:fldChar w:fldCharType="separate"/>
      </w:r>
      <w:r>
        <w:t>80</w:t>
      </w:r>
      <w:r>
        <w:fldChar w:fldCharType="end"/>
      </w:r>
      <w:r>
        <w:fldChar w:fldCharType="end"/>
      </w:r>
    </w:p>
    <w:p w14:paraId="658F486A">
      <w:pPr>
        <w:pStyle w:val="13"/>
        <w:tabs>
          <w:tab w:val="right" w:leader="dot" w:pos="8306"/>
          <w:tab w:val="clear" w:pos="0"/>
        </w:tabs>
      </w:pPr>
      <w:r>
        <w:fldChar w:fldCharType="begin"/>
      </w:r>
      <w:r>
        <w:instrText xml:space="preserve"> HYPERLINK \l _Toc8317 </w:instrText>
      </w:r>
      <w:r>
        <w:fldChar w:fldCharType="separate"/>
      </w:r>
      <w:r>
        <w:rPr>
          <w:rFonts w:hint="eastAsia" w:ascii="宋体" w:hAnsi="宋体" w:eastAsia="宋体" w:cs="宋体"/>
          <w:lang w:val="en-US" w:eastAsia="zh-CN"/>
        </w:rPr>
        <w:t xml:space="preserve">(七) </w:t>
      </w:r>
      <w:r>
        <w:rPr>
          <w:rFonts w:hint="eastAsia"/>
          <w:lang w:val="en-US" w:eastAsia="zh-CN"/>
        </w:rPr>
        <w:t>复核</w:t>
      </w:r>
      <w:r>
        <w:tab/>
      </w:r>
      <w:r>
        <w:fldChar w:fldCharType="begin"/>
      </w:r>
      <w:r>
        <w:instrText xml:space="preserve"> PAGEREF _Toc8317 \h </w:instrText>
      </w:r>
      <w:r>
        <w:fldChar w:fldCharType="separate"/>
      </w:r>
      <w:r>
        <w:t>82</w:t>
      </w:r>
      <w:r>
        <w:fldChar w:fldCharType="end"/>
      </w:r>
      <w:r>
        <w:fldChar w:fldCharType="end"/>
      </w:r>
    </w:p>
    <w:p w14:paraId="1D7CAC7F">
      <w:pPr>
        <w:pStyle w:val="13"/>
        <w:tabs>
          <w:tab w:val="right" w:leader="dot" w:pos="8306"/>
          <w:tab w:val="clear" w:pos="0"/>
        </w:tabs>
      </w:pPr>
      <w:r>
        <w:fldChar w:fldCharType="begin"/>
      </w:r>
      <w:r>
        <w:instrText xml:space="preserve"> HYPERLINK \l _Toc32166 </w:instrText>
      </w:r>
      <w:r>
        <w:fldChar w:fldCharType="separate"/>
      </w:r>
      <w:r>
        <w:rPr>
          <w:rFonts w:hint="eastAsia" w:ascii="宋体" w:hAnsi="宋体" w:eastAsia="宋体" w:cs="宋体"/>
          <w:lang w:val="en-US" w:eastAsia="zh-CN"/>
        </w:rPr>
        <w:t xml:space="preserve">(八) </w:t>
      </w:r>
      <w:r>
        <w:rPr>
          <w:rFonts w:hint="eastAsia"/>
          <w:lang w:val="en-US" w:eastAsia="zh-CN"/>
        </w:rPr>
        <w:t>评审报告</w:t>
      </w:r>
      <w:r>
        <w:tab/>
      </w:r>
      <w:r>
        <w:fldChar w:fldCharType="begin"/>
      </w:r>
      <w:r>
        <w:instrText xml:space="preserve"> PAGEREF _Toc32166 \h </w:instrText>
      </w:r>
      <w:r>
        <w:fldChar w:fldCharType="separate"/>
      </w:r>
      <w:r>
        <w:t>83</w:t>
      </w:r>
      <w:r>
        <w:fldChar w:fldCharType="end"/>
      </w:r>
      <w:r>
        <w:fldChar w:fldCharType="end"/>
      </w:r>
    </w:p>
    <w:p w14:paraId="5C6CFB15">
      <w:pPr>
        <w:pStyle w:val="17"/>
        <w:tabs>
          <w:tab w:val="right" w:leader="dot" w:pos="8306"/>
          <w:tab w:val="clear" w:pos="0"/>
          <w:tab w:val="clear" w:pos="9746"/>
        </w:tabs>
      </w:pPr>
      <w:r>
        <w:fldChar w:fldCharType="begin"/>
      </w:r>
      <w:r>
        <w:instrText xml:space="preserve"> HYPERLINK \l _Toc27461 </w:instrText>
      </w:r>
      <w:r>
        <w:fldChar w:fldCharType="separate"/>
      </w:r>
      <w:r>
        <w:rPr>
          <w:rFonts w:hint="eastAsia" w:ascii="宋体" w:hAnsi="宋体" w:eastAsia="宋体" w:cs="宋体"/>
        </w:rPr>
        <w:t xml:space="preserve">第八章 </w:t>
      </w:r>
      <w:r>
        <w:rPr>
          <w:rFonts w:hint="eastAsia"/>
        </w:rPr>
        <w:t>采购合同</w:t>
      </w:r>
      <w:r>
        <w:tab/>
      </w:r>
      <w:r>
        <w:fldChar w:fldCharType="begin"/>
      </w:r>
      <w:r>
        <w:instrText xml:space="preserve"> PAGEREF _Toc27461 \h </w:instrText>
      </w:r>
      <w:r>
        <w:fldChar w:fldCharType="separate"/>
      </w:r>
      <w:r>
        <w:t>85</w:t>
      </w:r>
      <w:r>
        <w:fldChar w:fldCharType="end"/>
      </w:r>
      <w:r>
        <w:fldChar w:fldCharType="end"/>
      </w:r>
    </w:p>
    <w:p w14:paraId="32A07B38">
      <w:pPr>
        <w:pStyle w:val="17"/>
        <w:tabs>
          <w:tab w:val="right" w:leader="dot" w:pos="8306"/>
          <w:tab w:val="clear" w:pos="0"/>
          <w:tab w:val="clear" w:pos="9746"/>
        </w:tabs>
      </w:pPr>
      <w:r>
        <w:fldChar w:fldCharType="begin"/>
      </w:r>
      <w:r>
        <w:instrText xml:space="preserve"> HYPERLINK \l _Toc29512 </w:instrText>
      </w:r>
      <w:r>
        <w:fldChar w:fldCharType="separate"/>
      </w:r>
      <w:r>
        <w:rPr>
          <w:rFonts w:hint="eastAsia" w:ascii="宋体" w:hAnsi="宋体" w:eastAsia="宋体" w:cs="宋体"/>
          <w:lang w:val="en-US" w:eastAsia="zh-CN"/>
        </w:rPr>
        <w:t xml:space="preserve">第九章 </w:t>
      </w:r>
      <w:r>
        <w:rPr>
          <w:rFonts w:hint="eastAsia"/>
          <w:lang w:val="en-US" w:eastAsia="zh-CN"/>
        </w:rPr>
        <w:t>附件</w:t>
      </w:r>
      <w:r>
        <w:tab/>
      </w:r>
      <w:r>
        <w:fldChar w:fldCharType="begin"/>
      </w:r>
      <w:r>
        <w:instrText xml:space="preserve"> PAGEREF _Toc29512 \h </w:instrText>
      </w:r>
      <w:r>
        <w:fldChar w:fldCharType="separate"/>
      </w:r>
      <w:r>
        <w:t>112</w:t>
      </w:r>
      <w:r>
        <w:fldChar w:fldCharType="end"/>
      </w:r>
      <w:r>
        <w:fldChar w:fldCharType="end"/>
      </w:r>
    </w:p>
    <w:p w14:paraId="2C68874A">
      <w:pPr>
        <w:pStyle w:val="22"/>
        <w:tabs>
          <w:tab w:val="right" w:leader="dot" w:pos="8306"/>
          <w:tab w:val="clear" w:pos="0"/>
        </w:tabs>
      </w:pPr>
      <w:r>
        <w:fldChar w:fldCharType="begin"/>
      </w:r>
      <w:r>
        <w:instrText xml:space="preserve"> HYPERLINK \l _Toc2058 </w:instrText>
      </w:r>
      <w:r>
        <w:fldChar w:fldCharType="separate"/>
      </w:r>
      <w:r>
        <w:rPr>
          <w:rFonts w:hint="eastAsia"/>
        </w:rPr>
        <w:t>附件一：问题的澄清</w:t>
      </w:r>
      <w:r>
        <w:rPr>
          <w:rFonts w:hint="eastAsia"/>
          <w:lang w:eastAsia="zh-CN"/>
        </w:rPr>
        <w:t>、</w:t>
      </w:r>
      <w:r>
        <w:rPr>
          <w:rFonts w:hint="eastAsia"/>
          <w:lang w:val="en-US" w:eastAsia="zh-CN"/>
        </w:rPr>
        <w:t>说明、更正</w:t>
      </w:r>
      <w:r>
        <w:rPr>
          <w:rFonts w:hint="eastAsia"/>
        </w:rPr>
        <w:t>通知</w:t>
      </w:r>
      <w:r>
        <w:tab/>
      </w:r>
      <w:r>
        <w:fldChar w:fldCharType="begin"/>
      </w:r>
      <w:r>
        <w:instrText xml:space="preserve"> PAGEREF _Toc2058 \h </w:instrText>
      </w:r>
      <w:r>
        <w:fldChar w:fldCharType="separate"/>
      </w:r>
      <w:r>
        <w:t>112</w:t>
      </w:r>
      <w:r>
        <w:fldChar w:fldCharType="end"/>
      </w:r>
      <w:r>
        <w:fldChar w:fldCharType="end"/>
      </w:r>
    </w:p>
    <w:p w14:paraId="115C46F2">
      <w:pPr>
        <w:pStyle w:val="22"/>
        <w:tabs>
          <w:tab w:val="right" w:leader="dot" w:pos="8306"/>
          <w:tab w:val="clear" w:pos="0"/>
        </w:tabs>
      </w:pPr>
      <w:r>
        <w:fldChar w:fldCharType="begin"/>
      </w:r>
      <w:r>
        <w:instrText xml:space="preserve"> HYPERLINK \l _Toc9486 </w:instrText>
      </w:r>
      <w:r>
        <w:fldChar w:fldCharType="separate"/>
      </w:r>
      <w:r>
        <w:rPr>
          <w:rFonts w:hint="eastAsia" w:asciiTheme="minorEastAsia" w:hAnsiTheme="minorEastAsia" w:eastAsiaTheme="minorEastAsia" w:cstheme="minorEastAsia"/>
        </w:rPr>
        <w:t>附件二：</w:t>
      </w:r>
      <w:r>
        <w:rPr>
          <w:rFonts w:hint="eastAsia" w:asciiTheme="minorEastAsia" w:hAnsiTheme="minorEastAsia" w:eastAsiaTheme="minorEastAsia" w:cstheme="minorEastAsia"/>
          <w:szCs w:val="24"/>
        </w:rPr>
        <w:t>问题的澄清</w:t>
      </w:r>
      <w:r>
        <w:rPr>
          <w:rFonts w:hint="eastAsia" w:asciiTheme="minorEastAsia" w:hAnsiTheme="minorEastAsia" w:eastAsiaTheme="minorEastAsia" w:cstheme="minorEastAsia"/>
          <w:szCs w:val="24"/>
          <w:lang w:eastAsia="zh-CN"/>
        </w:rPr>
        <w:t>、</w:t>
      </w:r>
      <w:r>
        <w:rPr>
          <w:rFonts w:hint="eastAsia" w:asciiTheme="minorEastAsia" w:hAnsiTheme="minorEastAsia" w:eastAsiaTheme="minorEastAsia" w:cstheme="minorEastAsia"/>
          <w:szCs w:val="24"/>
          <w:lang w:val="en-US" w:eastAsia="zh-CN"/>
        </w:rPr>
        <w:t>说明、更正</w:t>
      </w:r>
      <w:r>
        <w:tab/>
      </w:r>
      <w:r>
        <w:fldChar w:fldCharType="begin"/>
      </w:r>
      <w:r>
        <w:instrText xml:space="preserve"> PAGEREF _Toc9486 \h </w:instrText>
      </w:r>
      <w:r>
        <w:fldChar w:fldCharType="separate"/>
      </w:r>
      <w:r>
        <w:t>113</w:t>
      </w:r>
      <w:r>
        <w:fldChar w:fldCharType="end"/>
      </w:r>
      <w:r>
        <w:fldChar w:fldCharType="end"/>
      </w:r>
    </w:p>
    <w:p w14:paraId="2052662F">
      <w:pPr>
        <w:pStyle w:val="22"/>
        <w:tabs>
          <w:tab w:val="right" w:leader="dot" w:pos="8306"/>
          <w:tab w:val="clear" w:pos="0"/>
        </w:tabs>
      </w:pPr>
      <w:r>
        <w:fldChar w:fldCharType="begin"/>
      </w:r>
      <w:r>
        <w:instrText xml:space="preserve"> HYPERLINK \l _Toc22292 </w:instrText>
      </w:r>
      <w:r>
        <w:fldChar w:fldCharType="separate"/>
      </w:r>
      <w:r>
        <w:rPr>
          <w:rFonts w:hint="eastAsia"/>
          <w:lang w:val="en-US" w:eastAsia="zh-CN"/>
        </w:rPr>
        <w:t>附件三：2026年度信用评价服务效果调查表</w:t>
      </w:r>
      <w:r>
        <w:tab/>
      </w:r>
      <w:r>
        <w:fldChar w:fldCharType="begin"/>
      </w:r>
      <w:r>
        <w:instrText xml:space="preserve"> PAGEREF _Toc22292 \h </w:instrText>
      </w:r>
      <w:r>
        <w:fldChar w:fldCharType="separate"/>
      </w:r>
      <w:r>
        <w:t>114</w:t>
      </w:r>
      <w:r>
        <w:fldChar w:fldCharType="end"/>
      </w:r>
      <w:r>
        <w:fldChar w:fldCharType="end"/>
      </w:r>
    </w:p>
    <w:p w14:paraId="57B5C627">
      <w:pPr>
        <w:pStyle w:val="22"/>
        <w:tabs>
          <w:tab w:val="right" w:leader="dot" w:pos="8306"/>
          <w:tab w:val="clear" w:pos="0"/>
        </w:tabs>
      </w:pPr>
      <w:r>
        <w:fldChar w:fldCharType="begin"/>
      </w:r>
      <w:r>
        <w:instrText xml:space="preserve"> HYPERLINK \l _Toc5373 </w:instrText>
      </w:r>
      <w:r>
        <w:fldChar w:fldCharType="separate"/>
      </w:r>
      <w:r>
        <w:rPr>
          <w:rFonts w:hint="eastAsia" w:asciiTheme="minorEastAsia" w:hAnsiTheme="minorEastAsia" w:eastAsiaTheme="minorEastAsia" w:cstheme="minorEastAsia"/>
          <w:szCs w:val="24"/>
          <w:lang w:val="en-US" w:eastAsia="zh-CN"/>
        </w:rPr>
        <w:t>附件四：统计上大中小微型企业划分标准</w:t>
      </w:r>
      <w:r>
        <w:tab/>
      </w:r>
      <w:r>
        <w:fldChar w:fldCharType="begin"/>
      </w:r>
      <w:r>
        <w:instrText xml:space="preserve"> PAGEREF _Toc5373 \h </w:instrText>
      </w:r>
      <w:r>
        <w:fldChar w:fldCharType="separate"/>
      </w:r>
      <w:r>
        <w:t>115</w:t>
      </w:r>
      <w:r>
        <w:fldChar w:fldCharType="end"/>
      </w:r>
      <w:r>
        <w:fldChar w:fldCharType="end"/>
      </w:r>
    </w:p>
    <w:p w14:paraId="6DC7A994">
      <w:pPr>
        <w:keepNext w:val="0"/>
        <w:keepLines w:val="0"/>
        <w:pageBreakBefore w:val="0"/>
        <w:widowControl w:val="0"/>
        <w:kinsoku/>
        <w:overflowPunct/>
        <w:autoSpaceDE/>
        <w:autoSpaceDN/>
        <w:bidi w:val="0"/>
        <w:adjustRightInd w:val="0"/>
        <w:snapToGrid w:val="0"/>
        <w:spacing w:line="380" w:lineRule="exact"/>
        <w:textAlignment w:val="auto"/>
        <w:rPr>
          <w:rFonts w:hint="eastAsia"/>
        </w:rPr>
        <w:sectPr>
          <w:headerReference r:id="rId11" w:type="first"/>
          <w:footerReference r:id="rId13" w:type="first"/>
          <w:headerReference r:id="rId10" w:type="default"/>
          <w:footerReference r:id="rId12" w:type="default"/>
          <w:pgSz w:w="11906" w:h="16838"/>
          <w:pgMar w:top="1440" w:right="1800" w:bottom="1440" w:left="1800" w:header="851" w:footer="992" w:gutter="0"/>
          <w:pgNumType w:fmt="decimal" w:start="1"/>
          <w:cols w:space="0" w:num="1"/>
          <w:titlePg/>
          <w:docGrid w:linePitch="312" w:charSpace="0"/>
        </w:sectPr>
      </w:pPr>
      <w:r>
        <w:fldChar w:fldCharType="end"/>
      </w:r>
    </w:p>
    <w:bookmarkEnd w:id="2"/>
    <w:bookmarkEnd w:id="3"/>
    <w:bookmarkEnd w:id="4"/>
    <w:bookmarkEnd w:id="5"/>
    <w:p w14:paraId="0661BF40">
      <w:pPr>
        <w:pStyle w:val="54"/>
        <w:bidi w:val="0"/>
        <w:rPr>
          <w:rFonts w:hint="eastAsia"/>
        </w:rPr>
      </w:pPr>
      <w:bookmarkStart w:id="6" w:name="_Toc15291"/>
      <w:bookmarkStart w:id="7" w:name="_Toc21535"/>
      <w:bookmarkStart w:id="8" w:name="_Toc25759"/>
      <w:bookmarkStart w:id="9" w:name="_Toc217446031"/>
      <w:bookmarkStart w:id="10" w:name="_Toc213396759"/>
      <w:bookmarkStart w:id="11" w:name="_Toc213397009"/>
      <w:bookmarkStart w:id="12" w:name="_Toc213396945"/>
      <w:bookmarkStart w:id="13" w:name="_Toc213496267"/>
      <w:r>
        <w:rPr>
          <w:rFonts w:hint="eastAsia"/>
        </w:rPr>
        <w:t>竞争性磋商邀请公告</w:t>
      </w:r>
      <w:bookmarkEnd w:id="6"/>
      <w:bookmarkEnd w:id="7"/>
      <w:bookmarkEnd w:id="8"/>
    </w:p>
    <w:p w14:paraId="1C824D75">
      <w:pPr>
        <w:pStyle w:val="51"/>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rPr>
      </w:pPr>
      <w:r>
        <w:rPr>
          <w:rFonts w:hint="eastAsia"/>
          <w:lang w:val="zh-CN"/>
        </w:rPr>
        <w:t>四川乾新招投标代理有限公司</w:t>
      </w:r>
      <w:r>
        <w:rPr>
          <w:rFonts w:hint="eastAsia"/>
        </w:rPr>
        <w:t>受</w:t>
      </w:r>
      <w:r>
        <w:rPr>
          <w:rFonts w:hint="eastAsia"/>
          <w:lang w:eastAsia="zh-CN"/>
        </w:rPr>
        <w:t>西南石油大学</w:t>
      </w:r>
      <w:r>
        <w:rPr>
          <w:rFonts w:hint="eastAsia"/>
        </w:rPr>
        <w:t>的委托，拟对</w:t>
      </w:r>
      <w:r>
        <w:rPr>
          <w:rFonts w:hint="eastAsia"/>
          <w:lang w:eastAsia="zh-CN"/>
        </w:rPr>
        <w:t>西南石油大学四川省天然气产业产教深度融合综合示范基地跟踪审计服务</w:t>
      </w:r>
      <w:r>
        <w:rPr>
          <w:rFonts w:hint="eastAsia"/>
          <w:color w:val="000000" w:themeColor="text1"/>
          <w:lang w:val="en-US" w:eastAsia="zh-CN"/>
          <w14:textFill>
            <w14:solidFill>
              <w14:schemeClr w14:val="tx1"/>
            </w14:solidFill>
          </w14:textFill>
        </w:rPr>
        <w:t>采用竞争性磋商方式进行采购</w:t>
      </w:r>
      <w:r>
        <w:rPr>
          <w:rFonts w:hint="eastAsia"/>
        </w:rPr>
        <w:t>，特邀请合格的供应商参加该项目的竞争性磋商。</w:t>
      </w:r>
    </w:p>
    <w:p w14:paraId="2DF5B225">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rPr>
      </w:pPr>
      <w:r>
        <w:rPr>
          <w:rFonts w:hint="eastAsia"/>
          <w:b/>
          <w:bCs/>
        </w:rPr>
        <w:t>项目编号：QXZB-2026-0536X</w:t>
      </w:r>
      <w:r>
        <w:rPr>
          <w:rFonts w:hint="eastAsia"/>
          <w:b/>
          <w:bCs/>
          <w:lang w:val="en-US" w:eastAsia="zh-CN"/>
        </w:rPr>
        <w:t>(校方</w:t>
      </w:r>
      <w:r>
        <w:rPr>
          <w:rFonts w:hint="eastAsia"/>
          <w:b/>
          <w:bCs/>
          <w:lang w:eastAsia="zh-CN"/>
        </w:rPr>
        <w:t>编号：SWPUT-2026-0046-JC</w:t>
      </w:r>
      <w:r>
        <w:rPr>
          <w:rFonts w:hint="eastAsia"/>
          <w:b/>
          <w:bCs/>
          <w:lang w:val="en-US" w:eastAsia="zh-CN"/>
        </w:rPr>
        <w:t>)</w:t>
      </w:r>
    </w:p>
    <w:p w14:paraId="5EBE91EA">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rPr>
      </w:pPr>
      <w:r>
        <w:rPr>
          <w:rFonts w:hint="eastAsia"/>
          <w:b/>
          <w:bCs/>
        </w:rPr>
        <w:t>项目名称：</w:t>
      </w:r>
      <w:r>
        <w:rPr>
          <w:rFonts w:hint="eastAsia"/>
          <w:b/>
          <w:bCs/>
          <w:lang w:eastAsia="zh-CN"/>
        </w:rPr>
        <w:t>西南石油大学四川省天然气产业产教深度融合综合示范基地跟踪审计服务</w:t>
      </w:r>
    </w:p>
    <w:p w14:paraId="3ECE4931">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lang w:val="en-US" w:eastAsia="zh-CN"/>
        </w:rPr>
      </w:pPr>
      <w:r>
        <w:rPr>
          <w:rFonts w:hint="eastAsia"/>
          <w:b/>
          <w:bCs/>
          <w:lang w:val="en-US" w:eastAsia="zh-CN"/>
        </w:rPr>
        <w:t>资金来源</w:t>
      </w:r>
      <w:r>
        <w:rPr>
          <w:rFonts w:hint="eastAsia"/>
          <w:b/>
          <w:bCs/>
        </w:rPr>
        <w:t>：</w:t>
      </w:r>
      <w:r>
        <w:rPr>
          <w:rFonts w:hint="eastAsia"/>
          <w:b/>
          <w:bCs/>
          <w:lang w:val="en-US" w:eastAsia="zh-CN"/>
        </w:rPr>
        <w:t>资金已落实</w:t>
      </w:r>
      <w:r>
        <w:rPr>
          <w:rFonts w:hint="eastAsia"/>
          <w:b/>
          <w:bCs/>
        </w:rPr>
        <w:t>，该项目预算资金为</w:t>
      </w:r>
      <w:r>
        <w:rPr>
          <w:rFonts w:hint="eastAsia"/>
          <w:b/>
          <w:bCs/>
          <w:lang w:val="en-US" w:eastAsia="zh-CN"/>
        </w:rPr>
        <w:t>人民币21.4</w:t>
      </w:r>
      <w:r>
        <w:rPr>
          <w:rFonts w:hint="eastAsia"/>
          <w:b/>
          <w:bCs/>
        </w:rPr>
        <w:t>万元</w:t>
      </w:r>
      <w:r>
        <w:rPr>
          <w:rFonts w:hint="eastAsia"/>
          <w:b/>
          <w:bCs/>
          <w:lang w:eastAsia="zh-CN"/>
        </w:rPr>
        <w:t>。</w:t>
      </w:r>
    </w:p>
    <w:p w14:paraId="2DE1812E">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ascii="宋体" w:hAnsi="宋体" w:eastAsia="宋体"/>
          <w:b/>
          <w:bCs/>
        </w:rPr>
      </w:pPr>
      <w:r>
        <w:rPr>
          <w:rFonts w:hint="eastAsia"/>
          <w:b/>
          <w:bCs/>
          <w:lang w:val="en-US" w:eastAsia="zh-CN"/>
        </w:rPr>
        <w:t>采购</w:t>
      </w:r>
      <w:r>
        <w:rPr>
          <w:rFonts w:hint="eastAsia" w:ascii="宋体" w:hAnsi="宋体" w:eastAsia="宋体"/>
          <w:b/>
          <w:bCs/>
        </w:rPr>
        <w:t>项目简介：</w:t>
      </w:r>
    </w:p>
    <w:p w14:paraId="5788FACB">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eastAsia"/>
        </w:rPr>
      </w:pPr>
      <w:r>
        <w:rPr>
          <w:rFonts w:hint="eastAsia"/>
          <w:b/>
          <w:bCs/>
          <w:lang w:val="en-US" w:eastAsia="zh-CN"/>
        </w:rPr>
        <w:t>(一)采购内容：</w:t>
      </w:r>
      <w:r>
        <w:rPr>
          <w:rFonts w:hint="eastAsia"/>
          <w:b w:val="0"/>
          <w:bCs w:val="0"/>
          <w:lang w:val="en-US" w:eastAsia="zh-CN"/>
        </w:rPr>
        <w:t>跟踪审计服务</w:t>
      </w:r>
      <w:r>
        <w:rPr>
          <w:rFonts w:hint="eastAsia"/>
        </w:rPr>
        <w:t>，</w:t>
      </w:r>
      <w:r>
        <w:rPr>
          <w:rFonts w:hint="eastAsia"/>
          <w:lang w:val="en-US" w:eastAsia="zh-CN"/>
        </w:rPr>
        <w:t>具体</w:t>
      </w:r>
      <w:r>
        <w:rPr>
          <w:rFonts w:hint="eastAsia"/>
        </w:rPr>
        <w:t>详见</w:t>
      </w:r>
      <w:r>
        <w:rPr>
          <w:rFonts w:hint="eastAsia"/>
          <w:lang w:eastAsia="zh-CN"/>
        </w:rPr>
        <w:t>竞争性磋商文件</w:t>
      </w:r>
      <w:r>
        <w:rPr>
          <w:rFonts w:hint="eastAsia"/>
        </w:rPr>
        <w:t>第</w:t>
      </w:r>
      <w:r>
        <w:rPr>
          <w:rFonts w:hint="eastAsia"/>
          <w:lang w:val="en-US" w:eastAsia="zh-CN"/>
        </w:rPr>
        <w:t>五</w:t>
      </w:r>
      <w:r>
        <w:rPr>
          <w:rFonts w:hint="eastAsia"/>
        </w:rPr>
        <w:t>章。</w:t>
      </w:r>
    </w:p>
    <w:p w14:paraId="4B50D5F2">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default"/>
          <w:b/>
          <w:bCs/>
          <w:color w:val="auto"/>
          <w:lang w:val="en-US" w:eastAsia="zh-CN"/>
        </w:rPr>
      </w:pPr>
      <w:r>
        <w:rPr>
          <w:rFonts w:hint="eastAsia"/>
          <w:b/>
          <w:bCs/>
          <w:color w:val="auto"/>
          <w:lang w:val="en-US" w:eastAsia="zh-CN"/>
        </w:rPr>
        <w:t>(二)采购包划分：</w:t>
      </w:r>
      <w:r>
        <w:rPr>
          <w:rFonts w:hint="eastAsia"/>
          <w:color w:val="auto"/>
          <w:highlight w:val="none"/>
          <w:lang w:val="en-US" w:eastAsia="zh-CN"/>
        </w:rPr>
        <w:t>本项目</w:t>
      </w:r>
      <w:r>
        <w:rPr>
          <w:rFonts w:hint="eastAsia"/>
          <w:color w:val="auto"/>
          <w:highlight w:val="none"/>
        </w:rPr>
        <w:t>共计</w:t>
      </w:r>
      <w:r>
        <w:rPr>
          <w:rFonts w:hint="eastAsia"/>
          <w:color w:val="auto"/>
          <w:highlight w:val="none"/>
          <w:lang w:val="en-US" w:eastAsia="zh-CN"/>
        </w:rPr>
        <w:t>1</w:t>
      </w:r>
      <w:r>
        <w:rPr>
          <w:rFonts w:hint="eastAsia"/>
          <w:color w:val="auto"/>
          <w:highlight w:val="none"/>
        </w:rPr>
        <w:t>个包，</w:t>
      </w:r>
      <w:r>
        <w:rPr>
          <w:rFonts w:hint="eastAsia"/>
          <w:color w:val="auto"/>
          <w:highlight w:val="none"/>
          <w:lang w:val="en-US" w:eastAsia="zh-CN"/>
        </w:rPr>
        <w:t>设置1名成交供应商</w:t>
      </w:r>
      <w:r>
        <w:rPr>
          <w:rFonts w:hint="eastAsia"/>
          <w:color w:val="auto"/>
          <w:highlight w:val="none"/>
          <w:lang w:eastAsia="zh-CN"/>
        </w:rPr>
        <w:t>。</w:t>
      </w:r>
    </w:p>
    <w:p w14:paraId="346091A1">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eastAsia"/>
          <w:highlight w:val="yellow"/>
          <w:lang w:val="en-US" w:eastAsia="zh-CN"/>
        </w:rPr>
      </w:pPr>
      <w:r>
        <w:rPr>
          <w:rFonts w:hint="eastAsia"/>
          <w:b/>
          <w:bCs/>
          <w:lang w:val="en-US" w:eastAsia="zh-CN"/>
        </w:rPr>
        <w:t>(三)采购用途：</w:t>
      </w:r>
      <w:r>
        <w:rPr>
          <w:rFonts w:hint="eastAsia"/>
          <w:b w:val="0"/>
          <w:bCs w:val="0"/>
          <w:lang w:val="en-US" w:eastAsia="zh-CN"/>
        </w:rPr>
        <w:t>西南石油大学天然气产业产教深度融合综合示范基地跟踪审计服务</w:t>
      </w:r>
      <w:r>
        <w:rPr>
          <w:rFonts w:hint="eastAsia"/>
          <w:highlight w:val="none"/>
          <w:lang w:val="en-US" w:eastAsia="zh-CN"/>
        </w:rPr>
        <w:t>。</w:t>
      </w:r>
    </w:p>
    <w:p w14:paraId="2EB4F724">
      <w:pPr>
        <w:pStyle w:val="48"/>
        <w:keepNext w:val="0"/>
        <w:keepLines w:val="0"/>
        <w:pageBreakBefore w:val="0"/>
        <w:widowControl w:val="0"/>
        <w:kinsoku/>
        <w:overflowPunct/>
        <w:autoSpaceDE/>
        <w:autoSpaceDN/>
        <w:bidi w:val="0"/>
        <w:adjustRightInd w:val="0"/>
        <w:snapToGrid w:val="0"/>
        <w:spacing w:line="520" w:lineRule="exact"/>
        <w:ind w:firstLine="482" w:firstLineChars="200"/>
        <w:textAlignment w:val="auto"/>
        <w:rPr>
          <w:rFonts w:hint="eastAsia"/>
        </w:rPr>
      </w:pPr>
      <w:r>
        <w:rPr>
          <w:rFonts w:hint="eastAsia"/>
          <w:b/>
          <w:bCs/>
        </w:rPr>
        <w:t>(四)项目性质：</w:t>
      </w:r>
      <w:r>
        <w:rPr>
          <w:rFonts w:hint="eastAsia"/>
          <w:b w:val="0"/>
          <w:bCs w:val="0"/>
          <w:color w:val="auto"/>
          <w:lang w:val="en-US" w:eastAsia="zh-CN"/>
        </w:rPr>
        <w:t>非法定</w:t>
      </w:r>
      <w:r>
        <w:rPr>
          <w:rFonts w:hint="eastAsia"/>
          <w:b w:val="0"/>
          <w:bCs w:val="0"/>
          <w:color w:val="auto"/>
        </w:rPr>
        <w:t>政府采购。</w:t>
      </w:r>
    </w:p>
    <w:p w14:paraId="57D21CEC">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b/>
          <w:bCs/>
        </w:rPr>
      </w:pPr>
      <w:r>
        <w:rPr>
          <w:rFonts w:hint="eastAsia"/>
          <w:b/>
          <w:bCs/>
        </w:rPr>
        <w:t>合格供应商应具备的资格条件：</w:t>
      </w:r>
    </w:p>
    <w:p w14:paraId="0711353A">
      <w:pPr>
        <w:pStyle w:val="39"/>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rPr>
      </w:pPr>
      <w:r>
        <w:rPr>
          <w:rFonts w:hint="eastAsia"/>
          <w:lang w:val="en-US" w:eastAsia="zh-CN"/>
        </w:rPr>
        <w:t>1.</w:t>
      </w:r>
      <w:r>
        <w:rPr>
          <w:rFonts w:hint="eastAsia"/>
        </w:rPr>
        <w:t>具有独立承担</w:t>
      </w:r>
      <w:r>
        <w:rPr>
          <w:rFonts w:hint="eastAsia"/>
        </w:rPr>
        <w:fldChar w:fldCharType="begin"/>
      </w:r>
      <w:r>
        <w:rPr>
          <w:rFonts w:hint="eastAsia"/>
        </w:rPr>
        <w:instrText xml:space="preserve"> HYPERLINK "http://www.lawtime.cn/info/minfa/mszeren/" \t "_blank" </w:instrText>
      </w:r>
      <w:r>
        <w:rPr>
          <w:rFonts w:hint="eastAsia"/>
        </w:rPr>
        <w:fldChar w:fldCharType="separate"/>
      </w:r>
      <w:r>
        <w:rPr>
          <w:rFonts w:hint="eastAsia"/>
        </w:rPr>
        <w:t>民事责任</w:t>
      </w:r>
      <w:r>
        <w:rPr>
          <w:rFonts w:hint="eastAsia"/>
        </w:rPr>
        <w:fldChar w:fldCharType="end"/>
      </w:r>
      <w:r>
        <w:rPr>
          <w:rFonts w:hint="eastAsia"/>
        </w:rPr>
        <w:t>的能力；</w:t>
      </w:r>
    </w:p>
    <w:p w14:paraId="3E672C71">
      <w:pPr>
        <w:pStyle w:val="39"/>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rPr>
      </w:pPr>
      <w:r>
        <w:rPr>
          <w:rFonts w:hint="eastAsia"/>
          <w:lang w:val="en-US" w:eastAsia="zh-CN"/>
        </w:rPr>
        <w:t>2.</w:t>
      </w:r>
      <w:r>
        <w:rPr>
          <w:rFonts w:hint="eastAsia"/>
        </w:rPr>
        <w:t>具有良好的商业信誉和健全的财务会计制度；</w:t>
      </w:r>
    </w:p>
    <w:p w14:paraId="79CDB3BB">
      <w:pPr>
        <w:pStyle w:val="39"/>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rPr>
      </w:pPr>
      <w:r>
        <w:rPr>
          <w:rFonts w:hint="eastAsia"/>
          <w:lang w:val="en-US" w:eastAsia="zh-CN"/>
        </w:rPr>
        <w:t>3.</w:t>
      </w:r>
      <w:r>
        <w:rPr>
          <w:rFonts w:hint="eastAsia"/>
        </w:rPr>
        <w:t>具有履行合同所必需的设备和专业技术能力；</w:t>
      </w:r>
    </w:p>
    <w:p w14:paraId="7AAF73DC">
      <w:pPr>
        <w:pStyle w:val="39"/>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4.有依法缴纳税收和</w:t>
      </w:r>
      <w:r>
        <w:rPr>
          <w:rFonts w:hint="eastAsia"/>
          <w:lang w:val="en-US" w:eastAsia="zh-CN"/>
        </w:rPr>
        <w:fldChar w:fldCharType="begin"/>
      </w:r>
      <w:r>
        <w:rPr>
          <w:rFonts w:hint="eastAsia"/>
          <w:lang w:val="en-US" w:eastAsia="zh-CN"/>
        </w:rPr>
        <w:instrText xml:space="preserve"> HYPERLINK "http://www.lawtime.cn/info/laodong/shehuibaozhang/" \t "_blank" </w:instrText>
      </w:r>
      <w:r>
        <w:rPr>
          <w:rFonts w:hint="eastAsia"/>
          <w:lang w:val="en-US" w:eastAsia="zh-CN"/>
        </w:rPr>
        <w:fldChar w:fldCharType="separate"/>
      </w:r>
      <w:r>
        <w:rPr>
          <w:rFonts w:hint="eastAsia"/>
          <w:lang w:val="en-US" w:eastAsia="zh-CN"/>
        </w:rPr>
        <w:t>社会保障</w:t>
      </w:r>
      <w:r>
        <w:rPr>
          <w:rFonts w:hint="eastAsia"/>
          <w:lang w:val="en-US" w:eastAsia="zh-CN"/>
        </w:rPr>
        <w:fldChar w:fldCharType="end"/>
      </w:r>
      <w:r>
        <w:rPr>
          <w:rFonts w:hint="eastAsia"/>
          <w:lang w:val="en-US" w:eastAsia="zh-CN"/>
        </w:rPr>
        <w:t>资金的良好记录；</w:t>
      </w:r>
    </w:p>
    <w:p w14:paraId="4899B1E7">
      <w:pPr>
        <w:pStyle w:val="39"/>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lang w:val="en-US" w:eastAsia="zh-CN"/>
        </w:rPr>
      </w:pPr>
      <w:r>
        <w:rPr>
          <w:rFonts w:hint="eastAsia"/>
          <w:lang w:val="en-US" w:eastAsia="zh-CN"/>
        </w:rPr>
        <w:t>5.参加采购活动前三年内，</w:t>
      </w:r>
      <w:r>
        <w:rPr>
          <w:rFonts w:hint="eastAsia"/>
          <w:u w:val="none"/>
          <w:lang w:val="en-US" w:eastAsia="zh-CN"/>
        </w:rPr>
        <w:t>在经营活动</w:t>
      </w:r>
      <w:r>
        <w:rPr>
          <w:rFonts w:hint="eastAsia"/>
          <w:lang w:val="en-US" w:eastAsia="zh-CN"/>
        </w:rPr>
        <w:t>中没有重大违法记录；</w:t>
      </w:r>
    </w:p>
    <w:p w14:paraId="29EF79ED">
      <w:pPr>
        <w:pStyle w:val="39"/>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lang w:val="zh-CN" w:eastAsia="zh-CN"/>
        </w:rPr>
      </w:pPr>
      <w:r>
        <w:rPr>
          <w:rFonts w:hint="eastAsia"/>
          <w:lang w:val="en-US" w:eastAsia="zh-CN"/>
        </w:rPr>
        <w:t>6.法律、</w:t>
      </w:r>
      <w:r>
        <w:rPr>
          <w:rFonts w:hint="eastAsia"/>
          <w:lang w:val="en-US" w:eastAsia="zh-CN"/>
        </w:rPr>
        <w:fldChar w:fldCharType="begin"/>
      </w:r>
      <w:r>
        <w:rPr>
          <w:rFonts w:hint="eastAsia"/>
          <w:lang w:val="en-US" w:eastAsia="zh-CN"/>
        </w:rPr>
        <w:instrText xml:space="preserve"> HYPERLINK "http://www.lawtime.cn/info/sifakaoshi/xingzhengfa/" \t "_blank" </w:instrText>
      </w:r>
      <w:r>
        <w:rPr>
          <w:rFonts w:hint="eastAsia"/>
          <w:lang w:val="en-US" w:eastAsia="zh-CN"/>
        </w:rPr>
        <w:fldChar w:fldCharType="separate"/>
      </w:r>
      <w:r>
        <w:rPr>
          <w:rFonts w:hint="eastAsia"/>
          <w:lang w:val="en-US" w:eastAsia="zh-CN"/>
        </w:rPr>
        <w:t>行政法</w:t>
      </w:r>
      <w:r>
        <w:rPr>
          <w:rFonts w:hint="eastAsia"/>
          <w:lang w:val="en-US" w:eastAsia="zh-CN"/>
        </w:rPr>
        <w:fldChar w:fldCharType="end"/>
      </w:r>
      <w:r>
        <w:rPr>
          <w:rFonts w:hint="eastAsia"/>
          <w:lang w:val="en-US" w:eastAsia="zh-CN"/>
        </w:rPr>
        <w:t>规规定的其</w:t>
      </w:r>
      <w:r>
        <w:rPr>
          <w:rFonts w:hint="eastAsia"/>
          <w:highlight w:val="none"/>
          <w:lang w:val="en-US" w:eastAsia="zh-CN"/>
        </w:rPr>
        <w:t>他条件；</w:t>
      </w:r>
    </w:p>
    <w:p w14:paraId="7F11003D">
      <w:pPr>
        <w:pStyle w:val="48"/>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highlight w:val="none"/>
          <w:lang w:val="zh-CN"/>
        </w:rPr>
      </w:pPr>
      <w:r>
        <w:rPr>
          <w:rFonts w:hint="eastAsia"/>
          <w:highlight w:val="none"/>
          <w:lang w:val="en-US" w:eastAsia="zh-CN"/>
        </w:rPr>
        <w:t>7.</w:t>
      </w:r>
      <w:r>
        <w:rPr>
          <w:rFonts w:hint="eastAsia"/>
          <w:highlight w:val="none"/>
          <w:lang w:val="zh-CN"/>
        </w:rPr>
        <w:t>落实采购政策需满足的资格要求：</w:t>
      </w:r>
    </w:p>
    <w:p w14:paraId="799FA50C">
      <w:pPr>
        <w:pStyle w:val="48"/>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000000" w:themeColor="text1"/>
          <w:sz w:val="24"/>
          <w:szCs w:val="24"/>
          <w:highlight w:val="none"/>
          <w:lang w:val="zh-CN"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本项目为专门面向中小企业采购的项目</w:t>
      </w:r>
      <w:r>
        <w:rPr>
          <w:rFonts w:hint="eastAsia"/>
          <w:color w:val="000000" w:themeColor="text1"/>
          <w:sz w:val="24"/>
          <w:szCs w:val="24"/>
          <w:highlight w:val="none"/>
          <w:lang w:val="zh-CN"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供应商</w:t>
      </w:r>
      <w:r>
        <w:rPr>
          <w:rFonts w:hint="eastAsia"/>
          <w:color w:val="000000" w:themeColor="text1"/>
          <w:sz w:val="24"/>
          <w:szCs w:val="24"/>
          <w:highlight w:val="none"/>
          <w:lang w:val="zh-CN" w:eastAsia="zh-CN"/>
          <w14:textFill>
            <w14:solidFill>
              <w14:schemeClr w14:val="tx1"/>
            </w14:solidFill>
          </w14:textFill>
        </w:rPr>
        <w:t>应为中小微企业、监狱企业、残疾人福利性单位</w:t>
      </w:r>
      <w:r>
        <w:rPr>
          <w:rFonts w:hint="eastAsia"/>
          <w:color w:val="000000" w:themeColor="text1"/>
          <w:sz w:val="24"/>
          <w:szCs w:val="24"/>
          <w:highlight w:val="none"/>
          <w:lang w:val="en-US" w:eastAsia="zh-CN"/>
          <w14:textFill>
            <w14:solidFill>
              <w14:schemeClr w14:val="tx1"/>
            </w14:solidFill>
          </w14:textFill>
        </w:rPr>
        <w:t>或符合中小企业划分标准的个体工商户</w:t>
      </w:r>
      <w:r>
        <w:rPr>
          <w:rFonts w:hint="eastAsia"/>
          <w:color w:val="000000" w:themeColor="text1"/>
          <w:sz w:val="24"/>
          <w:szCs w:val="24"/>
          <w:highlight w:val="none"/>
          <w:lang w:val="zh-CN" w:eastAsia="zh-CN"/>
          <w14:textFill>
            <w14:solidFill>
              <w14:schemeClr w14:val="tx1"/>
            </w14:solidFill>
          </w14:textFill>
        </w:rPr>
        <w:t>；</w:t>
      </w:r>
    </w:p>
    <w:p w14:paraId="676C9142">
      <w:pPr>
        <w:pStyle w:val="48"/>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highlight w:val="none"/>
          <w:lang w:val="zh-CN"/>
        </w:rPr>
      </w:pPr>
      <w:r>
        <w:rPr>
          <w:rFonts w:hint="eastAsia"/>
          <w:highlight w:val="none"/>
          <w:lang w:val="en-US" w:eastAsia="zh-CN"/>
        </w:rPr>
        <w:t>8.本项目不接受联合体参加本次采购活动。</w:t>
      </w:r>
    </w:p>
    <w:p w14:paraId="759A9D31">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b/>
          <w:bCs/>
        </w:rPr>
      </w:pPr>
      <w:r>
        <w:rPr>
          <w:rFonts w:hint="eastAsia"/>
          <w:b/>
          <w:bCs/>
        </w:rPr>
        <w:t>禁止参加本次采购活动的供应商</w:t>
      </w:r>
    </w:p>
    <w:p w14:paraId="471FB7AE">
      <w:pPr>
        <w:pStyle w:val="39"/>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jc w:val="both"/>
        <w:textAlignment w:val="auto"/>
        <w:rPr>
          <w:rFonts w:hint="eastAsia"/>
          <w:lang w:val="en-US" w:eastAsia="zh-CN"/>
        </w:rPr>
      </w:pPr>
      <w:bookmarkStart w:id="14" w:name="PO_默认文件内容_4"/>
      <w:r>
        <w:rPr>
          <w:rFonts w:hint="eastAsia"/>
          <w:lang w:val="en-US" w:eastAsia="zh-CN"/>
        </w:rPr>
        <w:t>采购代理机构将通过“信用中国”网站(www.creditchina.gov.cn)、“中国政府采购网”网站(www.ccgp.gov.cn)等渠道查询供应商在响应文件递交截止日前的信用记录并保存信用记录结果网页截图，拒绝列入失信被执行人名单、重大税收违法案件当事人名单(重大税收违法失信主体)、政府采购严重违法失信行为记录名单中的供应商参加本项目的采购活动。</w:t>
      </w:r>
    </w:p>
    <w:bookmarkEnd w:id="14"/>
    <w:p w14:paraId="5FDDD656">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b/>
          <w:bCs/>
          <w:highlight w:val="none"/>
        </w:rPr>
      </w:pPr>
      <w:r>
        <w:rPr>
          <w:rFonts w:hint="eastAsia"/>
          <w:b/>
          <w:bCs/>
          <w:highlight w:val="none"/>
        </w:rPr>
        <w:t>获取</w:t>
      </w:r>
      <w:r>
        <w:rPr>
          <w:rFonts w:hint="eastAsia"/>
          <w:b/>
          <w:bCs/>
          <w:highlight w:val="none"/>
          <w:lang w:val="en-US" w:eastAsia="zh-CN"/>
        </w:rPr>
        <w:t>磋商</w:t>
      </w:r>
      <w:r>
        <w:rPr>
          <w:rFonts w:hint="eastAsia"/>
          <w:b/>
          <w:bCs/>
          <w:highlight w:val="none"/>
        </w:rPr>
        <w:t>文件的时间期限、地点、方式</w:t>
      </w:r>
    </w:p>
    <w:p w14:paraId="20D1FC9A">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eastAsia"/>
          <w:color w:val="auto"/>
          <w:highlight w:val="none"/>
          <w:lang w:val="zh-CN"/>
        </w:rPr>
      </w:pPr>
      <w:r>
        <w:rPr>
          <w:rFonts w:hint="eastAsia"/>
          <w:b/>
          <w:bCs/>
          <w:color w:val="auto"/>
          <w:highlight w:val="none"/>
          <w:lang w:val="en-US" w:eastAsia="zh-CN"/>
        </w:rPr>
        <w:t>(一)</w:t>
      </w:r>
      <w:r>
        <w:rPr>
          <w:rFonts w:hint="eastAsia"/>
          <w:b/>
          <w:bCs/>
          <w:color w:val="auto"/>
          <w:highlight w:val="none"/>
        </w:rPr>
        <w:t>获取</w:t>
      </w:r>
      <w:r>
        <w:rPr>
          <w:rFonts w:hint="eastAsia"/>
          <w:b/>
          <w:bCs/>
          <w:color w:val="auto"/>
          <w:highlight w:val="none"/>
          <w:lang w:eastAsia="zh-CN"/>
        </w:rPr>
        <w:t>磋商文件</w:t>
      </w:r>
      <w:r>
        <w:rPr>
          <w:rFonts w:hint="eastAsia"/>
          <w:b/>
          <w:bCs/>
          <w:color w:val="auto"/>
          <w:highlight w:val="none"/>
        </w:rPr>
        <w:t>的时间期限(即报名时间)</w:t>
      </w:r>
      <w:r>
        <w:rPr>
          <w:rFonts w:hint="eastAsia"/>
          <w:color w:val="auto"/>
          <w:highlight w:val="none"/>
        </w:rPr>
        <w:t>：</w:t>
      </w:r>
      <w:r>
        <w:rPr>
          <w:rFonts w:hint="eastAsia"/>
          <w:color w:val="auto"/>
          <w:highlight w:val="none"/>
          <w:u w:val="single"/>
          <w:lang w:eastAsia="zh-CN"/>
        </w:rPr>
        <w:t>202</w:t>
      </w:r>
      <w:r>
        <w:rPr>
          <w:rFonts w:hint="eastAsia"/>
          <w:color w:val="auto"/>
          <w:highlight w:val="none"/>
          <w:u w:val="single"/>
          <w:lang w:val="en-US" w:eastAsia="zh-CN"/>
        </w:rPr>
        <w:t>6</w:t>
      </w:r>
      <w:r>
        <w:rPr>
          <w:rFonts w:hint="eastAsia"/>
          <w:color w:val="auto"/>
          <w:highlight w:val="none"/>
          <w:u w:val="single"/>
          <w:lang w:eastAsia="zh-CN"/>
        </w:rPr>
        <w:t>年</w:t>
      </w:r>
      <w:r>
        <w:rPr>
          <w:rFonts w:hint="eastAsia"/>
          <w:color w:val="auto"/>
          <w:highlight w:val="none"/>
          <w:u w:val="single"/>
          <w:lang w:val="en-US" w:eastAsia="zh-CN"/>
        </w:rPr>
        <w:t>5</w:t>
      </w:r>
      <w:r>
        <w:rPr>
          <w:rFonts w:hint="eastAsia"/>
          <w:color w:val="auto"/>
          <w:highlight w:val="none"/>
          <w:u w:val="single"/>
          <w:lang w:eastAsia="zh-CN"/>
        </w:rPr>
        <w:t>月</w:t>
      </w:r>
      <w:r>
        <w:rPr>
          <w:rFonts w:hint="eastAsia"/>
          <w:color w:val="auto"/>
          <w:highlight w:val="none"/>
          <w:u w:val="single"/>
          <w:lang w:val="en-US" w:eastAsia="zh-CN"/>
        </w:rPr>
        <w:t>28</w:t>
      </w:r>
      <w:r>
        <w:rPr>
          <w:rFonts w:hint="eastAsia"/>
          <w:color w:val="auto"/>
          <w:highlight w:val="none"/>
          <w:u w:val="single"/>
          <w:lang w:eastAsia="zh-CN"/>
        </w:rPr>
        <w:t>日至202</w:t>
      </w:r>
      <w:r>
        <w:rPr>
          <w:rFonts w:hint="eastAsia"/>
          <w:color w:val="auto"/>
          <w:highlight w:val="none"/>
          <w:u w:val="single"/>
          <w:lang w:val="en-US" w:eastAsia="zh-CN"/>
        </w:rPr>
        <w:t>6</w:t>
      </w:r>
      <w:r>
        <w:rPr>
          <w:rFonts w:hint="eastAsia"/>
          <w:color w:val="auto"/>
          <w:highlight w:val="none"/>
          <w:u w:val="single"/>
          <w:lang w:eastAsia="zh-CN"/>
        </w:rPr>
        <w:t>年</w:t>
      </w:r>
      <w:r>
        <w:rPr>
          <w:rFonts w:hint="eastAsia"/>
          <w:color w:val="auto"/>
          <w:highlight w:val="none"/>
          <w:u w:val="single"/>
          <w:lang w:val="en-US" w:eastAsia="zh-CN"/>
        </w:rPr>
        <w:t>6</w:t>
      </w:r>
      <w:r>
        <w:rPr>
          <w:rFonts w:hint="eastAsia"/>
          <w:color w:val="auto"/>
          <w:highlight w:val="none"/>
          <w:u w:val="single"/>
          <w:lang w:eastAsia="zh-CN"/>
        </w:rPr>
        <w:t>月</w:t>
      </w:r>
      <w:r>
        <w:rPr>
          <w:rFonts w:hint="eastAsia"/>
          <w:color w:val="auto"/>
          <w:highlight w:val="none"/>
          <w:u w:val="single"/>
          <w:lang w:val="en-US" w:eastAsia="zh-CN"/>
        </w:rPr>
        <w:t>3</w:t>
      </w:r>
      <w:r>
        <w:rPr>
          <w:rFonts w:hint="eastAsia"/>
          <w:color w:val="auto"/>
          <w:highlight w:val="none"/>
          <w:u w:val="single"/>
          <w:lang w:eastAsia="zh-CN"/>
        </w:rPr>
        <w:t>日，每天上午9时00分至12时00分，下午</w:t>
      </w:r>
      <w:r>
        <w:rPr>
          <w:rFonts w:hint="eastAsia"/>
          <w:color w:val="auto"/>
          <w:highlight w:val="none"/>
          <w:u w:val="single"/>
          <w:lang w:val="en-US" w:eastAsia="zh-CN"/>
        </w:rPr>
        <w:t>14</w:t>
      </w:r>
      <w:r>
        <w:rPr>
          <w:rFonts w:hint="eastAsia"/>
          <w:color w:val="auto"/>
          <w:highlight w:val="none"/>
          <w:u w:val="single"/>
          <w:lang w:eastAsia="zh-CN"/>
        </w:rPr>
        <w:t>时</w:t>
      </w:r>
      <w:r>
        <w:rPr>
          <w:rFonts w:hint="eastAsia"/>
          <w:color w:val="auto"/>
          <w:highlight w:val="none"/>
          <w:u w:val="single"/>
          <w:lang w:val="en-US" w:eastAsia="zh-CN"/>
        </w:rPr>
        <w:t>00</w:t>
      </w:r>
      <w:r>
        <w:rPr>
          <w:rFonts w:hint="eastAsia"/>
          <w:color w:val="auto"/>
          <w:highlight w:val="none"/>
          <w:u w:val="single"/>
          <w:lang w:eastAsia="zh-CN"/>
        </w:rPr>
        <w:t>分至</w:t>
      </w:r>
      <w:r>
        <w:rPr>
          <w:rFonts w:hint="eastAsia"/>
          <w:color w:val="auto"/>
          <w:highlight w:val="none"/>
          <w:u w:val="single"/>
          <w:lang w:val="en-US" w:eastAsia="zh-CN"/>
        </w:rPr>
        <w:t>18</w:t>
      </w:r>
      <w:r>
        <w:rPr>
          <w:rFonts w:hint="eastAsia"/>
          <w:color w:val="auto"/>
          <w:highlight w:val="none"/>
          <w:u w:val="single"/>
          <w:lang w:eastAsia="zh-CN"/>
        </w:rPr>
        <w:t>时</w:t>
      </w:r>
      <w:r>
        <w:rPr>
          <w:rFonts w:hint="eastAsia"/>
          <w:color w:val="auto"/>
          <w:highlight w:val="none"/>
          <w:u w:val="single"/>
          <w:lang w:val="en-US" w:eastAsia="zh-CN"/>
        </w:rPr>
        <w:t>00</w:t>
      </w:r>
      <w:r>
        <w:rPr>
          <w:rFonts w:hint="eastAsia"/>
          <w:color w:val="auto"/>
          <w:highlight w:val="none"/>
          <w:u w:val="single"/>
          <w:lang w:eastAsia="zh-CN"/>
        </w:rPr>
        <w:t>分(北京时间，法定节假日除外)。</w:t>
      </w:r>
    </w:p>
    <w:p w14:paraId="00E950DC">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eastAsia"/>
          <w:color w:val="auto"/>
          <w:highlight w:val="none"/>
          <w:lang w:val="zh-CN"/>
        </w:rPr>
      </w:pPr>
      <w:r>
        <w:rPr>
          <w:rFonts w:hint="eastAsia"/>
          <w:b/>
          <w:bCs/>
          <w:color w:val="auto"/>
          <w:highlight w:val="none"/>
          <w:lang w:val="en-US" w:eastAsia="zh-CN"/>
        </w:rPr>
        <w:t>(二)</w:t>
      </w:r>
      <w:r>
        <w:rPr>
          <w:rFonts w:hint="eastAsia"/>
          <w:b/>
          <w:bCs/>
          <w:color w:val="auto"/>
          <w:highlight w:val="none"/>
        </w:rPr>
        <w:t>获取</w:t>
      </w:r>
      <w:r>
        <w:rPr>
          <w:rFonts w:hint="eastAsia"/>
          <w:b/>
          <w:bCs/>
          <w:color w:val="auto"/>
          <w:highlight w:val="none"/>
          <w:lang w:eastAsia="zh-CN"/>
        </w:rPr>
        <w:t>磋商文件</w:t>
      </w:r>
      <w:r>
        <w:rPr>
          <w:rFonts w:hint="eastAsia"/>
          <w:b/>
          <w:bCs/>
          <w:color w:val="auto"/>
          <w:highlight w:val="none"/>
        </w:rPr>
        <w:t>的地点</w:t>
      </w:r>
      <w:r>
        <w:rPr>
          <w:rFonts w:hint="eastAsia"/>
          <w:b/>
          <w:bCs/>
          <w:color w:val="auto"/>
          <w:highlight w:val="none"/>
          <w:lang w:eastAsia="zh-CN"/>
        </w:rPr>
        <w:t>：四川乾新招投标代理有限公司官网获取</w:t>
      </w:r>
      <w:r>
        <w:rPr>
          <w:rFonts w:hint="eastAsia"/>
          <w:color w:val="auto"/>
          <w:highlight w:val="none"/>
          <w:lang w:val="zh-CN"/>
        </w:rPr>
        <w:t>。</w:t>
      </w:r>
    </w:p>
    <w:p w14:paraId="6746DA93">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default"/>
          <w:b/>
          <w:bCs/>
          <w:color w:val="auto"/>
          <w:highlight w:val="none"/>
          <w:lang w:val="en-US" w:eastAsia="zh-CN"/>
        </w:rPr>
      </w:pPr>
      <w:r>
        <w:rPr>
          <w:rFonts w:hint="eastAsia"/>
          <w:b/>
          <w:bCs/>
          <w:color w:val="auto"/>
          <w:highlight w:val="none"/>
          <w:lang w:val="en-US" w:eastAsia="zh-CN"/>
        </w:rPr>
        <w:t>(三)</w:t>
      </w:r>
      <w:r>
        <w:rPr>
          <w:rFonts w:hint="eastAsia"/>
          <w:b/>
          <w:bCs/>
          <w:color w:val="auto"/>
          <w:highlight w:val="none"/>
        </w:rPr>
        <w:t>获取</w:t>
      </w:r>
      <w:r>
        <w:rPr>
          <w:rFonts w:hint="eastAsia"/>
          <w:b/>
          <w:bCs/>
          <w:color w:val="auto"/>
          <w:highlight w:val="none"/>
          <w:lang w:eastAsia="zh-CN"/>
        </w:rPr>
        <w:t>磋商文件</w:t>
      </w:r>
      <w:r>
        <w:rPr>
          <w:rFonts w:hint="eastAsia"/>
          <w:b/>
          <w:bCs/>
          <w:color w:val="auto"/>
          <w:highlight w:val="none"/>
        </w:rPr>
        <w:t>的方式</w:t>
      </w:r>
      <w:r>
        <w:rPr>
          <w:rFonts w:hint="eastAsia"/>
          <w:b/>
          <w:bCs/>
          <w:color w:val="auto"/>
          <w:highlight w:val="none"/>
          <w:lang w:eastAsia="zh-CN"/>
        </w:rPr>
        <w:t>：</w:t>
      </w:r>
    </w:p>
    <w:p w14:paraId="373E2FBC">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eastAsia"/>
          <w:b/>
          <w:bCs/>
          <w:color w:val="auto"/>
          <w:highlight w:val="none"/>
          <w:lang w:val="zh-CN" w:eastAsia="zh-CN"/>
        </w:rPr>
      </w:pPr>
      <w:r>
        <w:rPr>
          <w:rFonts w:hint="eastAsia"/>
          <w:b/>
          <w:bCs/>
          <w:color w:val="auto"/>
          <w:highlight w:val="none"/>
          <w:lang w:val="zh-CN" w:eastAsia="zh-CN"/>
        </w:rPr>
        <w:t>1.在本项目</w:t>
      </w:r>
      <w:r>
        <w:rPr>
          <w:rFonts w:hint="eastAsia"/>
          <w:b/>
          <w:bCs/>
          <w:color w:val="auto"/>
          <w:highlight w:val="none"/>
          <w:lang w:val="en-US" w:eastAsia="zh-CN"/>
        </w:rPr>
        <w:t>磋商</w:t>
      </w:r>
      <w:r>
        <w:rPr>
          <w:rFonts w:hint="eastAsia"/>
          <w:b/>
          <w:bCs/>
          <w:color w:val="auto"/>
          <w:highlight w:val="none"/>
          <w:lang w:val="zh-CN" w:eastAsia="zh-CN"/>
        </w:rPr>
        <w:t>文件获取时间期限内，在四川乾新招投标代理有限公司官网</w:t>
      </w:r>
      <w:r>
        <w:rPr>
          <w:rFonts w:hint="eastAsia"/>
          <w:b/>
          <w:bCs/>
          <w:color w:val="auto"/>
          <w:highlight w:val="none"/>
          <w:lang w:val="en-US" w:eastAsia="zh-CN"/>
        </w:rPr>
        <w:t>获取</w:t>
      </w:r>
      <w:r>
        <w:rPr>
          <w:rFonts w:hint="eastAsia"/>
          <w:b/>
          <w:bCs/>
          <w:color w:val="auto"/>
          <w:highlight w:val="none"/>
          <w:lang w:val="zh-CN" w:eastAsia="zh-CN"/>
        </w:rPr>
        <w:t>，具体</w:t>
      </w:r>
      <w:r>
        <w:rPr>
          <w:rFonts w:hint="eastAsia"/>
          <w:b/>
          <w:bCs/>
          <w:color w:val="auto"/>
          <w:highlight w:val="none"/>
          <w:lang w:val="en-US" w:eastAsia="zh-CN"/>
        </w:rPr>
        <w:t>获取</w:t>
      </w:r>
      <w:r>
        <w:rPr>
          <w:rFonts w:hint="eastAsia"/>
          <w:b/>
          <w:bCs/>
          <w:color w:val="auto"/>
          <w:highlight w:val="none"/>
          <w:lang w:val="zh-CN" w:eastAsia="zh-CN"/>
        </w:rPr>
        <w:t>流程详见该网站的“标书在线</w:t>
      </w:r>
      <w:r>
        <w:rPr>
          <w:rFonts w:hint="eastAsia"/>
          <w:b/>
          <w:bCs/>
          <w:color w:val="auto"/>
          <w:highlight w:val="none"/>
          <w:lang w:val="en-US" w:eastAsia="zh-CN"/>
        </w:rPr>
        <w:t>获取</w:t>
      </w:r>
      <w:r>
        <w:rPr>
          <w:rFonts w:hint="eastAsia"/>
          <w:b/>
          <w:bCs/>
          <w:color w:val="auto"/>
          <w:highlight w:val="none"/>
          <w:lang w:val="zh-CN" w:eastAsia="zh-CN"/>
        </w:rPr>
        <w:t>流程”。</w:t>
      </w:r>
    </w:p>
    <w:p w14:paraId="0088199B">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eastAsia"/>
          <w:b/>
          <w:bCs/>
          <w:color w:val="auto"/>
          <w:highlight w:val="none"/>
          <w:lang w:val="zh-CN" w:eastAsia="zh-CN"/>
        </w:rPr>
      </w:pPr>
      <w:r>
        <w:rPr>
          <w:rFonts w:hint="eastAsia"/>
          <w:b/>
          <w:bCs/>
          <w:color w:val="auto"/>
          <w:highlight w:val="none"/>
          <w:lang w:val="zh-CN" w:eastAsia="zh-CN"/>
        </w:rPr>
        <w:t>2.报名咨询电话:028-61375575、62600820、62630990转 601或602。</w:t>
      </w:r>
    </w:p>
    <w:p w14:paraId="7A19000C">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eastAsia"/>
          <w:color w:val="auto"/>
          <w:highlight w:val="none"/>
        </w:rPr>
      </w:pPr>
      <w:r>
        <w:rPr>
          <w:rFonts w:hint="eastAsia"/>
          <w:b/>
          <w:bCs/>
          <w:color w:val="auto"/>
          <w:highlight w:val="none"/>
          <w:lang w:val="en-US" w:eastAsia="zh-CN"/>
        </w:rPr>
        <w:t>(四)</w:t>
      </w:r>
      <w:r>
        <w:rPr>
          <w:rFonts w:hint="eastAsia"/>
          <w:b/>
          <w:bCs/>
          <w:color w:val="auto"/>
          <w:highlight w:val="none"/>
          <w:lang w:val="zh-CN"/>
        </w:rPr>
        <w:t>磋商文件售价：</w:t>
      </w:r>
      <w:r>
        <w:rPr>
          <w:rFonts w:hint="eastAsia"/>
          <w:color w:val="auto"/>
          <w:highlight w:val="none"/>
          <w:lang w:val="zh-CN"/>
        </w:rPr>
        <w:t>人民币</w:t>
      </w:r>
      <w:r>
        <w:rPr>
          <w:rFonts w:hint="eastAsia"/>
          <w:color w:val="auto"/>
          <w:highlight w:val="none"/>
          <w:lang w:val="en-US" w:eastAsia="zh-CN"/>
        </w:rPr>
        <w:t>300元</w:t>
      </w:r>
      <w:r>
        <w:rPr>
          <w:rFonts w:hint="eastAsia"/>
          <w:color w:val="auto"/>
          <w:highlight w:val="none"/>
          <w:lang w:val="zh-CN"/>
        </w:rPr>
        <w:t xml:space="preserve">/份(磋商文件售后不退, </w:t>
      </w:r>
      <w:r>
        <w:rPr>
          <w:rFonts w:hint="eastAsia"/>
          <w:color w:val="auto"/>
          <w:highlight w:val="none"/>
          <w:lang w:val="en-US" w:eastAsia="zh-CN"/>
        </w:rPr>
        <w:t>磋商</w:t>
      </w:r>
      <w:r>
        <w:rPr>
          <w:rFonts w:hint="eastAsia"/>
          <w:color w:val="auto"/>
          <w:highlight w:val="none"/>
        </w:rPr>
        <w:t>资格</w:t>
      </w:r>
      <w:r>
        <w:rPr>
          <w:rFonts w:hint="eastAsia"/>
          <w:color w:val="auto"/>
          <w:highlight w:val="none"/>
          <w:lang w:eastAsia="zh-CN"/>
        </w:rPr>
        <w:t>不得</w:t>
      </w:r>
      <w:r>
        <w:rPr>
          <w:rFonts w:hint="eastAsia"/>
          <w:color w:val="auto"/>
          <w:highlight w:val="none"/>
        </w:rPr>
        <w:t>转让)。</w:t>
      </w:r>
    </w:p>
    <w:p w14:paraId="052A75B4">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eastAsia"/>
          <w:color w:val="auto"/>
          <w:highlight w:val="none"/>
          <w:lang w:eastAsia="zh-CN"/>
        </w:rPr>
      </w:pPr>
      <w:r>
        <w:rPr>
          <w:rFonts w:hint="eastAsia"/>
          <w:b/>
          <w:bCs/>
          <w:color w:val="auto"/>
          <w:highlight w:val="none"/>
          <w:lang w:val="en-US" w:eastAsia="zh-CN"/>
        </w:rPr>
        <w:t>(五)</w:t>
      </w:r>
      <w:r>
        <w:rPr>
          <w:rFonts w:hint="eastAsia"/>
          <w:color w:val="auto"/>
          <w:highlight w:val="none"/>
        </w:rPr>
        <w:t>供应商应在规定的时间内</w:t>
      </w:r>
      <w:r>
        <w:rPr>
          <w:rFonts w:hint="eastAsia"/>
          <w:color w:val="auto"/>
          <w:highlight w:val="none"/>
          <w:lang w:val="en-US" w:eastAsia="zh-CN"/>
        </w:rPr>
        <w:t>按上述要求获取</w:t>
      </w:r>
      <w:r>
        <w:rPr>
          <w:rFonts w:hint="eastAsia"/>
          <w:color w:val="auto"/>
          <w:highlight w:val="none"/>
        </w:rPr>
        <w:t>本</w:t>
      </w:r>
      <w:r>
        <w:rPr>
          <w:rFonts w:hint="eastAsia"/>
          <w:color w:val="auto"/>
          <w:highlight w:val="none"/>
          <w:lang w:val="en-US" w:eastAsia="zh-CN"/>
        </w:rPr>
        <w:t>磋商文件</w:t>
      </w:r>
      <w:r>
        <w:rPr>
          <w:rFonts w:hint="eastAsia"/>
          <w:color w:val="auto"/>
          <w:highlight w:val="none"/>
        </w:rPr>
        <w:t>并登记，</w:t>
      </w:r>
      <w:r>
        <w:rPr>
          <w:rFonts w:hint="eastAsia"/>
          <w:color w:val="auto"/>
          <w:highlight w:val="none"/>
          <w:lang w:val="en-US" w:eastAsia="zh-CN"/>
        </w:rPr>
        <w:t>否则</w:t>
      </w:r>
      <w:r>
        <w:rPr>
          <w:rFonts w:hint="eastAsia"/>
          <w:color w:val="auto"/>
          <w:highlight w:val="none"/>
        </w:rPr>
        <w:t>均无资格参加该项目</w:t>
      </w:r>
      <w:r>
        <w:rPr>
          <w:rFonts w:hint="eastAsia"/>
          <w:color w:val="auto"/>
          <w:highlight w:val="none"/>
          <w:lang w:eastAsia="zh-CN"/>
        </w:rPr>
        <w:t>。</w:t>
      </w:r>
    </w:p>
    <w:p w14:paraId="05A41BFC">
      <w:pPr>
        <w:pStyle w:val="48"/>
        <w:keepNext w:val="0"/>
        <w:keepLines w:val="0"/>
        <w:pageBreakBefore w:val="0"/>
        <w:widowControl w:val="0"/>
        <w:kinsoku/>
        <w:wordWrap w:val="0"/>
        <w:overflowPunct/>
        <w:topLinePunct/>
        <w:autoSpaceDE/>
        <w:autoSpaceDN/>
        <w:bidi w:val="0"/>
        <w:adjustRightInd w:val="0"/>
        <w:snapToGrid w:val="0"/>
        <w:spacing w:line="520" w:lineRule="exact"/>
        <w:ind w:firstLine="482" w:firstLineChars="200"/>
        <w:textAlignment w:val="auto"/>
        <w:rPr>
          <w:rFonts w:hint="eastAsia" w:cs="宋体"/>
          <w:color w:val="auto"/>
          <w:highlight w:val="none"/>
          <w:lang w:val="en-US" w:eastAsia="zh-CN"/>
        </w:rPr>
      </w:pPr>
      <w:r>
        <w:rPr>
          <w:rFonts w:hint="eastAsia" w:cs="宋体"/>
          <w:b/>
          <w:bCs/>
          <w:color w:val="auto"/>
          <w:highlight w:val="none"/>
          <w:lang w:val="en-US" w:eastAsia="zh-CN"/>
        </w:rPr>
        <w:t>注：①首次注册报名系统的供应商需提交公司相关资料进行审核，审核截止时间为每个工作日的 17时00分；②因供应商未按照要求上传注册所需资料或未及时提交注册申请导致其未能成功报名的责任由其自行承担，注册审核电话:028-61375575转601；③供应商应当及时更新其在报名系统中的相关信息，因供应商未及时更新导致响应无效的责任由其自行承担</w:t>
      </w:r>
      <w:r>
        <w:rPr>
          <w:rFonts w:hint="eastAsia" w:cs="宋体"/>
          <w:color w:val="auto"/>
          <w:highlight w:val="none"/>
          <w:lang w:val="en-US" w:eastAsia="zh-CN"/>
        </w:rPr>
        <w:t>。</w:t>
      </w:r>
    </w:p>
    <w:p w14:paraId="1259F9EE">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b/>
          <w:bCs/>
          <w:color w:val="auto"/>
        </w:rPr>
      </w:pPr>
      <w:r>
        <w:rPr>
          <w:rFonts w:hint="eastAsia"/>
          <w:b/>
          <w:bCs/>
          <w:color w:val="auto"/>
        </w:rPr>
        <w:t>竞争性磋商响应文件</w:t>
      </w:r>
      <w:r>
        <w:rPr>
          <w:rFonts w:hint="eastAsia"/>
          <w:b/>
          <w:bCs/>
          <w:color w:val="auto"/>
          <w:lang w:val="en-US" w:eastAsia="zh-CN"/>
        </w:rPr>
        <w:t>递交的</w:t>
      </w:r>
      <w:r>
        <w:rPr>
          <w:rFonts w:hint="eastAsia"/>
          <w:b/>
          <w:bCs/>
          <w:color w:val="auto"/>
        </w:rPr>
        <w:t>截止时间：20</w:t>
      </w:r>
      <w:r>
        <w:rPr>
          <w:rFonts w:hint="eastAsia"/>
          <w:b/>
          <w:bCs/>
          <w:color w:val="auto"/>
          <w:lang w:val="en-US" w:eastAsia="zh-CN"/>
        </w:rPr>
        <w:t>26</w:t>
      </w:r>
      <w:r>
        <w:rPr>
          <w:rFonts w:hint="eastAsia"/>
          <w:b/>
          <w:bCs/>
          <w:color w:val="auto"/>
        </w:rPr>
        <w:t>年</w:t>
      </w:r>
      <w:r>
        <w:rPr>
          <w:rFonts w:hint="eastAsia"/>
          <w:b/>
          <w:bCs/>
          <w:color w:val="auto"/>
          <w:lang w:val="en-US" w:eastAsia="zh-CN"/>
        </w:rPr>
        <w:t>6</w:t>
      </w:r>
      <w:r>
        <w:rPr>
          <w:rFonts w:hint="eastAsia" w:ascii="宋体" w:hAnsi="宋体" w:eastAsia="宋体"/>
          <w:b/>
          <w:bCs/>
          <w:color w:val="auto"/>
          <w:lang w:val="en-US" w:eastAsia="zh-CN"/>
        </w:rPr>
        <w:t>月</w:t>
      </w:r>
      <w:r>
        <w:rPr>
          <w:rFonts w:hint="eastAsia"/>
          <w:b/>
          <w:bCs/>
          <w:color w:val="auto"/>
          <w:lang w:val="en-US" w:eastAsia="zh-CN"/>
        </w:rPr>
        <w:t>10</w:t>
      </w:r>
      <w:r>
        <w:rPr>
          <w:rFonts w:hint="eastAsia" w:ascii="宋体" w:hAnsi="宋体" w:eastAsia="宋体"/>
          <w:b/>
          <w:bCs/>
          <w:color w:val="auto"/>
          <w:lang w:val="en-US" w:eastAsia="zh-CN"/>
        </w:rPr>
        <w:t>日</w:t>
      </w:r>
      <w:r>
        <w:rPr>
          <w:rFonts w:hint="eastAsia"/>
          <w:b/>
          <w:bCs/>
          <w:color w:val="auto"/>
          <w:lang w:val="en-US" w:eastAsia="zh-CN"/>
        </w:rPr>
        <w:t>9</w:t>
      </w:r>
      <w:r>
        <w:rPr>
          <w:rFonts w:hint="eastAsia"/>
          <w:b/>
          <w:bCs/>
          <w:color w:val="auto"/>
        </w:rPr>
        <w:t>时</w:t>
      </w:r>
      <w:r>
        <w:rPr>
          <w:rFonts w:hint="eastAsia"/>
          <w:b/>
          <w:bCs/>
          <w:color w:val="auto"/>
          <w:lang w:val="en-US" w:eastAsia="zh-CN"/>
        </w:rPr>
        <w:t>30</w:t>
      </w:r>
      <w:r>
        <w:rPr>
          <w:rFonts w:hint="eastAsia"/>
          <w:b/>
          <w:bCs/>
          <w:color w:val="auto"/>
        </w:rPr>
        <w:t>分</w:t>
      </w:r>
      <w:r>
        <w:rPr>
          <w:rFonts w:hint="eastAsia"/>
          <w:b/>
          <w:bCs/>
          <w:color w:val="auto"/>
          <w:lang w:val="en-US" w:eastAsia="zh-CN"/>
        </w:rPr>
        <w:t>00秒</w:t>
      </w:r>
      <w:r>
        <w:rPr>
          <w:rFonts w:hint="eastAsia"/>
          <w:b/>
          <w:bCs/>
          <w:color w:val="auto"/>
        </w:rPr>
        <w:t>(北京时间)</w:t>
      </w:r>
    </w:p>
    <w:p w14:paraId="190E586D">
      <w:pPr>
        <w:pStyle w:val="51"/>
        <w:keepNext w:val="0"/>
        <w:keepLines w:val="0"/>
        <w:pageBreakBefore w:val="0"/>
        <w:widowControl w:val="0"/>
        <w:kinsoku/>
        <w:overflowPunct/>
        <w:autoSpaceDE/>
        <w:autoSpaceDN/>
        <w:bidi w:val="0"/>
        <w:adjustRightInd w:val="0"/>
        <w:snapToGrid w:val="0"/>
        <w:spacing w:line="520" w:lineRule="exact"/>
        <w:textAlignment w:val="auto"/>
        <w:rPr>
          <w:rFonts w:hint="eastAsia"/>
          <w:b/>
          <w:bCs/>
        </w:rPr>
      </w:pPr>
      <w:r>
        <w:rPr>
          <w:rFonts w:hint="eastAsia"/>
          <w:b/>
          <w:bCs/>
        </w:rPr>
        <w:t>响应文件递交的起止时间</w:t>
      </w:r>
      <w:r>
        <w:rPr>
          <w:rFonts w:hint="eastAsia"/>
          <w:b/>
          <w:bCs/>
          <w:lang w:eastAsia="zh-CN"/>
        </w:rPr>
        <w:t>：</w:t>
      </w:r>
      <w:r>
        <w:rPr>
          <w:rFonts w:hint="eastAsia"/>
          <w:b/>
          <w:bCs/>
          <w:lang w:val="en-US" w:eastAsia="zh-CN"/>
        </w:rPr>
        <w:t>磋商当日</w:t>
      </w:r>
      <w:r>
        <w:rPr>
          <w:rFonts w:hint="eastAsia"/>
          <w:b/>
          <w:bCs/>
          <w:color w:val="auto"/>
          <w:lang w:val="en-US" w:eastAsia="zh-CN"/>
        </w:rPr>
        <w:t>9</w:t>
      </w:r>
      <w:r>
        <w:rPr>
          <w:rFonts w:hint="eastAsia"/>
          <w:b/>
          <w:bCs/>
        </w:rPr>
        <w:t>时</w:t>
      </w:r>
      <w:r>
        <w:rPr>
          <w:rFonts w:hint="eastAsia"/>
          <w:b/>
          <w:bCs/>
          <w:color w:val="auto"/>
          <w:lang w:val="en-US" w:eastAsia="zh-CN"/>
        </w:rPr>
        <w:t>00</w:t>
      </w:r>
      <w:r>
        <w:rPr>
          <w:rFonts w:hint="eastAsia"/>
          <w:b/>
          <w:bCs/>
        </w:rPr>
        <w:t>分</w:t>
      </w:r>
      <w:r>
        <w:rPr>
          <w:rFonts w:hint="eastAsia"/>
          <w:b/>
          <w:bCs/>
          <w:lang w:val="en-US" w:eastAsia="zh-CN"/>
        </w:rPr>
        <w:t>00秒</w:t>
      </w:r>
      <w:r>
        <w:rPr>
          <w:rFonts w:hint="eastAsia"/>
          <w:b/>
          <w:bCs/>
        </w:rPr>
        <w:t>-</w:t>
      </w:r>
      <w:r>
        <w:rPr>
          <w:rFonts w:hint="eastAsia"/>
          <w:b/>
          <w:bCs/>
          <w:color w:val="auto"/>
          <w:lang w:val="en-US" w:eastAsia="zh-CN"/>
        </w:rPr>
        <w:t>9</w:t>
      </w:r>
      <w:r>
        <w:rPr>
          <w:rFonts w:hint="eastAsia"/>
          <w:b/>
          <w:bCs/>
        </w:rPr>
        <w:t>时</w:t>
      </w:r>
      <w:r>
        <w:rPr>
          <w:rFonts w:hint="eastAsia"/>
          <w:b/>
          <w:bCs/>
          <w:color w:val="auto"/>
          <w:lang w:val="en-US" w:eastAsia="zh-CN"/>
        </w:rPr>
        <w:t>30</w:t>
      </w:r>
      <w:r>
        <w:rPr>
          <w:rFonts w:hint="eastAsia"/>
          <w:b/>
          <w:bCs/>
        </w:rPr>
        <w:t>分</w:t>
      </w:r>
      <w:r>
        <w:rPr>
          <w:rFonts w:hint="eastAsia"/>
          <w:b/>
          <w:bCs/>
          <w:lang w:val="en-US" w:eastAsia="zh-CN"/>
        </w:rPr>
        <w:t>00秒</w:t>
      </w:r>
      <w:r>
        <w:rPr>
          <w:rFonts w:hint="eastAsia"/>
          <w:b/>
          <w:bCs/>
        </w:rPr>
        <w:t>(北京时间)；</w:t>
      </w:r>
    </w:p>
    <w:p w14:paraId="5106AB09">
      <w:pPr>
        <w:pStyle w:val="51"/>
        <w:keepNext w:val="0"/>
        <w:keepLines w:val="0"/>
        <w:pageBreakBefore w:val="0"/>
        <w:widowControl w:val="0"/>
        <w:kinsoku/>
        <w:overflowPunct/>
        <w:autoSpaceDE/>
        <w:autoSpaceDN/>
        <w:bidi w:val="0"/>
        <w:adjustRightInd w:val="0"/>
        <w:snapToGrid w:val="0"/>
        <w:spacing w:line="520" w:lineRule="exact"/>
        <w:textAlignment w:val="auto"/>
        <w:rPr>
          <w:rFonts w:hint="eastAsia"/>
          <w:b/>
          <w:bCs/>
        </w:rPr>
      </w:pPr>
      <w:r>
        <w:rPr>
          <w:rFonts w:hint="eastAsia"/>
          <w:b/>
          <w:bCs/>
          <w:lang w:val="en-US" w:eastAsia="zh-CN"/>
        </w:rPr>
        <w:t>开启时间：磋商小组组建后立即开启；</w:t>
      </w:r>
    </w:p>
    <w:p w14:paraId="58645B90">
      <w:pPr>
        <w:pStyle w:val="51"/>
        <w:keepNext w:val="0"/>
        <w:keepLines w:val="0"/>
        <w:pageBreakBefore w:val="0"/>
        <w:widowControl w:val="0"/>
        <w:kinsoku/>
        <w:overflowPunct/>
        <w:autoSpaceDE/>
        <w:autoSpaceDN/>
        <w:bidi w:val="0"/>
        <w:adjustRightInd w:val="0"/>
        <w:snapToGrid w:val="0"/>
        <w:spacing w:line="520" w:lineRule="exact"/>
        <w:textAlignment w:val="auto"/>
        <w:rPr>
          <w:rFonts w:hint="eastAsia"/>
          <w:lang w:val="en-US" w:eastAsia="zh-CN"/>
        </w:rPr>
      </w:pPr>
      <w:r>
        <w:rPr>
          <w:rFonts w:hint="eastAsia"/>
          <w:b/>
          <w:bCs/>
          <w:lang w:val="en-US" w:eastAsia="zh-CN"/>
        </w:rPr>
        <w:t>响应文件递交的地点：</w:t>
      </w:r>
      <w:r>
        <w:rPr>
          <w:rFonts w:hint="eastAsia"/>
          <w:lang w:val="en-US" w:eastAsia="zh-CN"/>
        </w:rPr>
        <w:t>成都市高新区吉庆三路333号蜀都中心二期一号楼一单元401号本项目会议室；</w:t>
      </w:r>
    </w:p>
    <w:p w14:paraId="6BDA63E8">
      <w:pPr>
        <w:pStyle w:val="51"/>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rPr>
        <w:t>供应商应当在磋商文件要求的截止时间前，将响应文件密封送达指定地点。在截止时间后送达的响应文件为无效文件，</w:t>
      </w:r>
      <w:r>
        <w:rPr>
          <w:rFonts w:hint="eastAsia"/>
          <w:lang w:val="en-US" w:eastAsia="zh-CN"/>
        </w:rPr>
        <w:t>将被采购代理机构</w:t>
      </w:r>
      <w:r>
        <w:rPr>
          <w:rFonts w:hint="eastAsia"/>
        </w:rPr>
        <w:t>拒收。</w:t>
      </w:r>
    </w:p>
    <w:p w14:paraId="1B6AC3E7">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b/>
          <w:bCs/>
          <w:color w:val="auto"/>
        </w:rPr>
      </w:pPr>
      <w:r>
        <w:rPr>
          <w:rFonts w:hint="eastAsia"/>
          <w:b/>
          <w:bCs/>
          <w:color w:val="auto"/>
        </w:rPr>
        <w:t>磋商时间：20</w:t>
      </w:r>
      <w:r>
        <w:rPr>
          <w:rFonts w:hint="eastAsia"/>
          <w:b/>
          <w:bCs/>
          <w:color w:val="auto"/>
          <w:lang w:val="en-US" w:eastAsia="zh-CN"/>
        </w:rPr>
        <w:t>26</w:t>
      </w:r>
      <w:r>
        <w:rPr>
          <w:rFonts w:hint="eastAsia"/>
          <w:b/>
          <w:bCs/>
          <w:color w:val="auto"/>
        </w:rPr>
        <w:t>年</w:t>
      </w:r>
      <w:r>
        <w:rPr>
          <w:rFonts w:hint="eastAsia"/>
          <w:b/>
          <w:bCs/>
          <w:color w:val="auto"/>
          <w:lang w:val="en-US" w:eastAsia="zh-CN"/>
        </w:rPr>
        <w:t>6月10日9</w:t>
      </w:r>
      <w:r>
        <w:rPr>
          <w:rFonts w:hint="eastAsia"/>
          <w:b/>
          <w:bCs/>
          <w:color w:val="auto"/>
        </w:rPr>
        <w:t>时</w:t>
      </w:r>
      <w:r>
        <w:rPr>
          <w:rFonts w:hint="eastAsia"/>
          <w:b/>
          <w:bCs/>
          <w:color w:val="auto"/>
          <w:lang w:val="en-US" w:eastAsia="zh-CN"/>
        </w:rPr>
        <w:t>30</w:t>
      </w:r>
      <w:r>
        <w:rPr>
          <w:rFonts w:hint="eastAsia"/>
          <w:b/>
          <w:bCs/>
          <w:color w:val="auto"/>
        </w:rPr>
        <w:t>分</w:t>
      </w:r>
      <w:r>
        <w:rPr>
          <w:rFonts w:hint="eastAsia"/>
          <w:b/>
          <w:bCs/>
          <w:color w:val="auto"/>
          <w:lang w:val="en-US" w:eastAsia="zh-CN"/>
        </w:rPr>
        <w:t>00秒</w:t>
      </w:r>
      <w:r>
        <w:rPr>
          <w:rFonts w:hint="eastAsia"/>
          <w:b/>
          <w:bCs/>
          <w:color w:val="auto"/>
        </w:rPr>
        <w:t>(北京时间)</w:t>
      </w:r>
      <w:r>
        <w:rPr>
          <w:rFonts w:hint="eastAsia"/>
          <w:b/>
          <w:bCs/>
          <w:color w:val="auto"/>
          <w:lang w:eastAsia="zh-CN"/>
        </w:rPr>
        <w:t>。</w:t>
      </w:r>
    </w:p>
    <w:p w14:paraId="674691C4">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b/>
          <w:bCs/>
        </w:rPr>
      </w:pPr>
      <w:r>
        <w:rPr>
          <w:rFonts w:hint="eastAsia"/>
          <w:b/>
          <w:bCs/>
          <w:lang w:val="en-US" w:eastAsia="zh-CN"/>
        </w:rPr>
        <w:t>磋商地点：</w:t>
      </w:r>
      <w:r>
        <w:rPr>
          <w:rFonts w:hint="eastAsia"/>
          <w:b w:val="0"/>
          <w:bCs w:val="0"/>
          <w:lang w:val="en-US" w:eastAsia="zh-CN"/>
        </w:rPr>
        <w:t>成都市高新区吉庆三路333号蜀都中心二期一号楼一单元401号本项目会议室。</w:t>
      </w:r>
    </w:p>
    <w:p w14:paraId="724610D1">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b w:val="0"/>
          <w:bCs w:val="0"/>
          <w:lang w:eastAsia="zh-CN"/>
        </w:rPr>
      </w:pPr>
      <w:r>
        <w:rPr>
          <w:rFonts w:hint="eastAsia"/>
          <w:b/>
          <w:bCs/>
          <w:lang w:val="en-US" w:eastAsia="zh-CN"/>
        </w:rPr>
        <w:t>采购信息发布媒体：</w:t>
      </w:r>
      <w:r>
        <w:rPr>
          <w:rFonts w:hint="eastAsia"/>
          <w:b w:val="0"/>
          <w:bCs w:val="0"/>
          <w:lang w:val="en-US" w:eastAsia="zh-CN"/>
        </w:rPr>
        <w:t>“西南石油大学采购信息网(http://cwcggl.swpu.edu.cn/index.chtml)”</w:t>
      </w:r>
      <w:r>
        <w:rPr>
          <w:rFonts w:hint="eastAsia"/>
          <w:b w:val="0"/>
          <w:bCs w:val="0"/>
          <w:lang w:eastAsia="zh-CN"/>
        </w:rPr>
        <w:t>。</w:t>
      </w:r>
    </w:p>
    <w:p w14:paraId="255CBE3D">
      <w:pPr>
        <w:pStyle w:val="48"/>
        <w:keepNext w:val="0"/>
        <w:keepLines w:val="0"/>
        <w:pageBreakBefore w:val="0"/>
        <w:widowControl w:val="0"/>
        <w:numPr>
          <w:ilvl w:val="0"/>
          <w:numId w:val="7"/>
        </w:numPr>
        <w:kinsoku/>
        <w:wordWrap w:val="0"/>
        <w:overflowPunct/>
        <w:topLinePunct/>
        <w:autoSpaceDE/>
        <w:autoSpaceDN/>
        <w:bidi w:val="0"/>
        <w:adjustRightInd w:val="0"/>
        <w:snapToGrid w:val="0"/>
        <w:spacing w:line="520" w:lineRule="exact"/>
        <w:ind w:left="0" w:leftChars="0" w:firstLine="482" w:firstLineChars="200"/>
        <w:textAlignment w:val="auto"/>
        <w:rPr>
          <w:rFonts w:hint="eastAsia" w:eastAsia="宋体"/>
          <w:b/>
          <w:bCs/>
          <w:lang w:eastAsia="zh-CN"/>
        </w:rPr>
      </w:pPr>
      <w:r>
        <w:rPr>
          <w:rFonts w:hint="eastAsia"/>
          <w:b/>
          <w:bCs/>
        </w:rPr>
        <w:t>凡对本次采购提出询问，请按以下方式联系</w:t>
      </w:r>
      <w:r>
        <w:rPr>
          <w:rFonts w:hint="eastAsia"/>
          <w:b/>
          <w:bCs/>
          <w:lang w:eastAsia="zh-CN"/>
        </w:rPr>
        <w:t>：</w:t>
      </w:r>
    </w:p>
    <w:p w14:paraId="749860BF">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(一)采购人信息</w:t>
      </w:r>
    </w:p>
    <w:p w14:paraId="174A5581">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名    称：</w:t>
      </w:r>
      <w:r>
        <w:rPr>
          <w:rFonts w:hint="eastAsia" w:cs="宋体"/>
          <w:color w:val="000000" w:themeColor="text1"/>
          <w:sz w:val="24"/>
          <w:szCs w:val="24"/>
          <w:highlight w:val="none"/>
          <w:lang w:val="en-US" w:eastAsia="zh-CN"/>
          <w14:textFill>
            <w14:solidFill>
              <w14:schemeClr w14:val="tx1"/>
            </w14:solidFill>
          </w14:textFill>
        </w:rPr>
        <w:t>西南石油大学</w:t>
      </w:r>
    </w:p>
    <w:p w14:paraId="01D9C3F3">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地    址：四川省成都市新都区新都大道8号</w:t>
      </w:r>
    </w:p>
    <w:p w14:paraId="03DC1FA2">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 系 人：</w:t>
      </w:r>
      <w:r>
        <w:rPr>
          <w:rFonts w:hint="eastAsia" w:cs="宋体"/>
          <w:color w:val="000000" w:themeColor="text1"/>
          <w:sz w:val="24"/>
          <w:szCs w:val="24"/>
          <w:highlight w:val="none"/>
          <w:lang w:val="en-US" w:eastAsia="zh-CN"/>
          <w14:textFill>
            <w14:solidFill>
              <w14:schemeClr w14:val="tx1"/>
            </w14:solidFill>
          </w14:textFill>
        </w:rPr>
        <w:t>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老师  </w:t>
      </w:r>
    </w:p>
    <w:p w14:paraId="0B7FB8E8">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联系方式：028-83032886</w:t>
      </w:r>
    </w:p>
    <w:p w14:paraId="27151A51">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000000" w:themeColor="text1"/>
          <w:sz w:val="24"/>
          <w:szCs w:val="24"/>
          <w:highlight w:val="none"/>
          <w:lang w:val="zh-CN" w:eastAsia="zh-CN"/>
          <w14:textFill>
            <w14:solidFill>
              <w14:schemeClr w14:val="tx1"/>
            </w14:solidFill>
          </w14:textFill>
        </w:rPr>
      </w:pPr>
      <w:r>
        <w:rPr>
          <w:rFonts w:hint="eastAsia" w:ascii="宋体" w:hAnsi="宋体" w:eastAsia="宋体" w:cs="宋体"/>
          <w:color w:val="000000" w:themeColor="text1"/>
          <w:sz w:val="24"/>
          <w:szCs w:val="24"/>
          <w:highlight w:val="none"/>
          <w:lang w:val="zh-CN" w:eastAsia="zh-CN"/>
          <w14:textFill>
            <w14:solidFill>
              <w14:schemeClr w14:val="tx1"/>
            </w14:solidFill>
          </w14:textFill>
        </w:rPr>
        <w:t>(二)采购代理机构信息</w:t>
      </w:r>
    </w:p>
    <w:p w14:paraId="38078353">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eastAsia="zh-CN"/>
        </w:rPr>
        <w:t>名    称</w:t>
      </w:r>
      <w:r>
        <w:rPr>
          <w:rFonts w:hint="eastAsia" w:ascii="宋体" w:hAnsi="宋体" w:eastAsia="宋体" w:cs="宋体"/>
          <w:color w:val="auto"/>
          <w:sz w:val="24"/>
          <w:szCs w:val="24"/>
          <w:highlight w:val="none"/>
          <w:lang w:val="zh-CN"/>
        </w:rPr>
        <w:t>：四川乾新招投标代理有限公司</w:t>
      </w:r>
    </w:p>
    <w:p w14:paraId="4E88AE4A">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地    址：成都市高新区吉庆三路333号蜀都中心二期一号楼一单元401号</w:t>
      </w:r>
    </w:p>
    <w:p w14:paraId="7B0ADB37">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联 系 人：</w:t>
      </w:r>
      <w:r>
        <w:rPr>
          <w:rFonts w:hint="eastAsia" w:cs="宋体"/>
          <w:color w:val="auto"/>
          <w:sz w:val="24"/>
          <w:szCs w:val="24"/>
          <w:highlight w:val="none"/>
          <w:lang w:val="en-US" w:eastAsia="zh-CN"/>
        </w:rPr>
        <w:t>陈介</w:t>
      </w:r>
    </w:p>
    <w:p w14:paraId="2583F5BF">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eastAsia="zh-CN"/>
        </w:rPr>
        <w:t>联系电话：028-84638556、84882960转</w:t>
      </w:r>
      <w:r>
        <w:rPr>
          <w:rFonts w:hint="eastAsia" w:cs="宋体"/>
          <w:color w:val="auto"/>
          <w:sz w:val="24"/>
          <w:szCs w:val="24"/>
          <w:highlight w:val="none"/>
          <w:lang w:val="en-US" w:eastAsia="zh-CN"/>
        </w:rPr>
        <w:t>637</w:t>
      </w:r>
    </w:p>
    <w:p w14:paraId="1C1E9CDC">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传    真：028-83381268</w:t>
      </w:r>
    </w:p>
    <w:p w14:paraId="0B495070">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其他业务联系方式：</w:t>
      </w:r>
    </w:p>
    <w:p w14:paraId="6D4FDBD8">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①公司邮箱：scqxzb@163.com</w:t>
      </w:r>
    </w:p>
    <w:p w14:paraId="255563A8">
      <w:pPr>
        <w:pStyle w:val="74"/>
        <w:keepNext w:val="0"/>
        <w:keepLines w:val="0"/>
        <w:pageBreakBefore w:val="0"/>
        <w:widowControl w:val="0"/>
        <w:kinsoku/>
        <w:wordWrap w:val="0"/>
        <w:overflowPunct/>
        <w:topLinePunct/>
        <w:autoSpaceDE/>
        <w:autoSpaceDN/>
        <w:bidi w:val="0"/>
        <w:adjustRightInd/>
        <w:snapToGrid/>
        <w:spacing w:line="520" w:lineRule="exact"/>
        <w:ind w:right="0" w:rightChars="0" w:firstLine="31680"/>
        <w:textAlignment w:val="auto"/>
        <w:outlineLvl w:val="9"/>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②领取成交通知书咨询电话：028-61375575转601或602</w:t>
      </w:r>
    </w:p>
    <w:p w14:paraId="57E08EAD">
      <w:pPr>
        <w:pStyle w:val="48"/>
        <w:spacing w:line="520" w:lineRule="exact"/>
        <w:ind w:firstLine="480" w:firstLineChars="200"/>
        <w:jc w:val="left"/>
        <w:rPr>
          <w:rFonts w:hint="eastAsia"/>
          <w:highlight w:val="yellow"/>
          <w:lang w:val="zh-CN"/>
        </w:rPr>
      </w:pPr>
      <w:r>
        <w:rPr>
          <w:rFonts w:hint="eastAsia" w:ascii="宋体" w:hAnsi="宋体" w:eastAsia="宋体" w:cs="宋体"/>
          <w:color w:val="auto"/>
          <w:sz w:val="24"/>
          <w:szCs w:val="24"/>
          <w:highlight w:val="none"/>
          <w:lang w:val="zh-CN" w:eastAsia="zh-CN"/>
        </w:rPr>
        <w:t>③发票开具邮箱与查询电话：scqxzbkp@163.com；028-84638556转609</w:t>
      </w:r>
    </w:p>
    <w:p w14:paraId="38941C64">
      <w:pPr>
        <w:pStyle w:val="54"/>
        <w:bidi w:val="0"/>
        <w:rPr>
          <w:rFonts w:hint="eastAsia"/>
          <w:lang w:val="en-US" w:eastAsia="zh-CN"/>
        </w:rPr>
      </w:pPr>
      <w:r>
        <w:rPr>
          <w:rFonts w:hint="eastAsia"/>
        </w:rPr>
        <w:br w:type="page"/>
      </w:r>
      <w:bookmarkEnd w:id="9"/>
      <w:bookmarkEnd w:id="10"/>
      <w:bookmarkEnd w:id="11"/>
      <w:bookmarkEnd w:id="12"/>
      <w:bookmarkEnd w:id="13"/>
      <w:bookmarkStart w:id="15" w:name="_Toc8252"/>
      <w:bookmarkStart w:id="16" w:name="_Toc10380"/>
      <w:bookmarkStart w:id="17" w:name="_Toc5316"/>
      <w:bookmarkStart w:id="18" w:name="_Toc14701"/>
      <w:r>
        <w:rPr>
          <w:rFonts w:hint="eastAsia" w:asciiTheme="minorEastAsia" w:hAnsiTheme="minorEastAsia" w:eastAsiaTheme="minorEastAsia" w:cstheme="minorEastAsia"/>
          <w:color w:val="000000"/>
          <w:sz w:val="36"/>
          <w:szCs w:val="36"/>
        </w:rPr>
        <w:t>磋商须知</w:t>
      </w:r>
      <w:bookmarkEnd w:id="15"/>
      <w:bookmarkEnd w:id="16"/>
      <w:bookmarkEnd w:id="17"/>
      <w:bookmarkEnd w:id="18"/>
    </w:p>
    <w:p w14:paraId="38DE9B54">
      <w:pPr>
        <w:pStyle w:val="40"/>
        <w:keepNext w:val="0"/>
        <w:keepLines w:val="0"/>
        <w:pageBreakBefore w:val="0"/>
        <w:widowControl w:val="0"/>
        <w:kinsoku/>
        <w:wordWrap w:val="0"/>
        <w:overflowPunct/>
        <w:topLinePunct/>
        <w:autoSpaceDE/>
        <w:autoSpaceDN/>
        <w:bidi w:val="0"/>
        <w:adjustRightInd w:val="0"/>
        <w:snapToGrid w:val="0"/>
        <w:spacing w:before="157" w:beforeLines="50" w:after="157" w:afterLines="50"/>
        <w:ind w:firstLine="0" w:firstLineChars="0"/>
        <w:jc w:val="center"/>
        <w:textAlignment w:val="auto"/>
        <w:rPr>
          <w:rFonts w:hint="default" w:ascii="宋体" w:hAnsi="宋体" w:eastAsia="宋体" w:cstheme="minorBidi"/>
          <w:b/>
          <w:kern w:val="2"/>
          <w:sz w:val="36"/>
          <w:szCs w:val="36"/>
          <w:lang w:val="en-US" w:eastAsia="zh-CN" w:bidi="ar-SA"/>
        </w:rPr>
      </w:pPr>
      <w:bookmarkStart w:id="19" w:name="_Toc14542"/>
      <w:bookmarkStart w:id="20" w:name="_Toc19591"/>
      <w:bookmarkStart w:id="21" w:name="_Toc6140"/>
      <w:bookmarkStart w:id="22" w:name="_Toc30715"/>
      <w:r>
        <w:rPr>
          <w:rFonts w:hint="eastAsia" w:ascii="宋体" w:hAnsi="宋体" w:eastAsia="宋体" w:cstheme="minorBidi"/>
          <w:b/>
          <w:kern w:val="2"/>
          <w:sz w:val="36"/>
          <w:szCs w:val="36"/>
          <w:lang w:val="en-US" w:eastAsia="zh-CN" w:bidi="ar-SA"/>
        </w:rPr>
        <w:t>磋商须知前附表</w:t>
      </w:r>
      <w:bookmarkEnd w:id="19"/>
      <w:bookmarkEnd w:id="20"/>
      <w:bookmarkEnd w:id="21"/>
      <w:bookmarkEnd w:id="22"/>
    </w:p>
    <w:tbl>
      <w:tblPr>
        <w:tblStyle w:val="25"/>
        <w:tblW w:w="970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22"/>
        <w:gridCol w:w="2020"/>
        <w:gridCol w:w="7061"/>
      </w:tblGrid>
      <w:tr w14:paraId="4D021C7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49" w:hRule="atLeast"/>
          <w:tblHeader/>
          <w:jc w:val="center"/>
        </w:trPr>
        <w:tc>
          <w:tcPr>
            <w:tcW w:w="622" w:type="dxa"/>
            <w:vAlign w:val="center"/>
          </w:tcPr>
          <w:p w14:paraId="00576DC2">
            <w:pPr>
              <w:pStyle w:val="50"/>
              <w:keepNext w:val="0"/>
              <w:keepLines w:val="0"/>
              <w:pageBreakBefore w:val="0"/>
              <w:numPr>
                <w:ilvl w:val="0"/>
                <w:numId w:val="0"/>
              </w:numPr>
              <w:kinsoku/>
              <w:wordWrap w:val="0"/>
              <w:overflowPunct/>
              <w:topLinePunct/>
              <w:autoSpaceDE/>
              <w:autoSpaceDN/>
              <w:bidi w:val="0"/>
              <w:adjustRightInd w:val="0"/>
              <w:snapToGrid w:val="0"/>
              <w:spacing w:line="320" w:lineRule="exact"/>
              <w:ind w:left="24" w:leftChars="10" w:right="24" w:rightChars="10"/>
              <w:jc w:val="center"/>
              <w:textAlignment w:val="auto"/>
              <w:rPr>
                <w:rFonts w:hint="eastAsia" w:ascii="宋体" w:hAnsi="宋体" w:eastAsia="宋体" w:cs="宋体"/>
                <w:b/>
                <w:bCs/>
                <w:sz w:val="21"/>
                <w:szCs w:val="21"/>
                <w:lang w:val="zh-CN"/>
              </w:rPr>
            </w:pPr>
            <w:bookmarkStart w:id="23" w:name="_Toc327196262"/>
            <w:r>
              <w:rPr>
                <w:rFonts w:hint="eastAsia" w:ascii="宋体" w:hAnsi="宋体" w:eastAsia="宋体" w:cs="宋体"/>
                <w:b/>
                <w:bCs/>
                <w:sz w:val="21"/>
                <w:szCs w:val="21"/>
                <w:lang w:val="zh-CN"/>
              </w:rPr>
              <w:t>序号</w:t>
            </w:r>
          </w:p>
        </w:tc>
        <w:tc>
          <w:tcPr>
            <w:tcW w:w="2020" w:type="dxa"/>
            <w:vAlign w:val="center"/>
          </w:tcPr>
          <w:p w14:paraId="6BF36713">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须知事项</w:t>
            </w:r>
          </w:p>
        </w:tc>
        <w:tc>
          <w:tcPr>
            <w:tcW w:w="7061" w:type="dxa"/>
            <w:vAlign w:val="center"/>
          </w:tcPr>
          <w:p w14:paraId="49261E75">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说明和要求</w:t>
            </w:r>
          </w:p>
        </w:tc>
      </w:tr>
      <w:tr w14:paraId="59EBB1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4" w:hRule="atLeast"/>
          <w:jc w:val="center"/>
        </w:trPr>
        <w:tc>
          <w:tcPr>
            <w:tcW w:w="622" w:type="dxa"/>
            <w:vAlign w:val="center"/>
          </w:tcPr>
          <w:p w14:paraId="29BBFE31">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497B3801">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采购预算</w:t>
            </w:r>
          </w:p>
        </w:tc>
        <w:tc>
          <w:tcPr>
            <w:tcW w:w="7061" w:type="dxa"/>
            <w:vAlign w:val="center"/>
          </w:tcPr>
          <w:p w14:paraId="685D72D8">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zh-CN"/>
              </w:rPr>
            </w:pPr>
            <w:r>
              <w:rPr>
                <w:rFonts w:hint="eastAsia" w:ascii="宋体" w:hAnsi="宋体" w:eastAsia="宋体" w:cs="宋体"/>
                <w:sz w:val="21"/>
                <w:szCs w:val="21"/>
                <w:highlight w:val="none"/>
                <w:lang w:val="zh-CN"/>
              </w:rPr>
              <w:t>本项目</w:t>
            </w:r>
            <w:r>
              <w:rPr>
                <w:rFonts w:hint="eastAsia" w:ascii="宋体" w:hAnsi="宋体" w:eastAsia="宋体" w:cs="宋体"/>
                <w:color w:val="auto"/>
                <w:sz w:val="21"/>
                <w:szCs w:val="21"/>
                <w:highlight w:val="none"/>
              </w:rPr>
              <w:t>采购</w:t>
            </w:r>
            <w:r>
              <w:rPr>
                <w:rFonts w:hint="eastAsia" w:ascii="宋体" w:hAnsi="宋体" w:eastAsia="宋体" w:cs="宋体"/>
                <w:color w:val="auto"/>
                <w:sz w:val="21"/>
                <w:szCs w:val="21"/>
                <w:highlight w:val="none"/>
                <w:lang w:val="zh-CN"/>
              </w:rPr>
              <w:t>预算为人民币</w:t>
            </w:r>
            <w:r>
              <w:rPr>
                <w:rFonts w:hint="eastAsia" w:cs="宋体"/>
                <w:color w:val="auto"/>
                <w:sz w:val="21"/>
                <w:szCs w:val="21"/>
                <w:highlight w:val="none"/>
                <w:lang w:val="en-US" w:eastAsia="zh-CN"/>
              </w:rPr>
              <w:t>21.4万</w:t>
            </w:r>
            <w:r>
              <w:rPr>
                <w:rFonts w:hint="eastAsia" w:ascii="宋体" w:hAnsi="宋体" w:eastAsia="宋体" w:cs="宋体"/>
                <w:color w:val="auto"/>
                <w:sz w:val="21"/>
                <w:szCs w:val="21"/>
                <w:highlight w:val="none"/>
                <w:lang w:val="zh-CN"/>
              </w:rPr>
              <w:t>元。</w:t>
            </w:r>
          </w:p>
        </w:tc>
      </w:tr>
      <w:tr w14:paraId="074A91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4" w:hRule="atLeast"/>
          <w:jc w:val="center"/>
        </w:trPr>
        <w:tc>
          <w:tcPr>
            <w:tcW w:w="622" w:type="dxa"/>
            <w:vAlign w:val="center"/>
          </w:tcPr>
          <w:p w14:paraId="37223AB2">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6F904523">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折扣最高限价及报价要求</w:t>
            </w:r>
          </w:p>
          <w:p w14:paraId="27C84B24">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(实质性要求)</w:t>
            </w:r>
          </w:p>
        </w:tc>
        <w:tc>
          <w:tcPr>
            <w:tcW w:w="7061" w:type="dxa"/>
            <w:vAlign w:val="center"/>
          </w:tcPr>
          <w:p w14:paraId="79775FE4">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highlight w:val="none"/>
                <w:lang w:val="zh-CN"/>
              </w:rPr>
            </w:pPr>
            <w:r>
              <w:rPr>
                <w:rFonts w:hint="eastAsia" w:cs="宋体"/>
                <w:sz w:val="21"/>
                <w:szCs w:val="21"/>
                <w:highlight w:val="none"/>
                <w:lang w:val="en-US" w:eastAsia="zh-CN"/>
              </w:rPr>
              <w:t>1.</w:t>
            </w:r>
            <w:r>
              <w:rPr>
                <w:rFonts w:hint="eastAsia" w:ascii="宋体" w:hAnsi="宋体" w:eastAsia="宋体" w:cs="宋体"/>
                <w:sz w:val="21"/>
                <w:szCs w:val="21"/>
                <w:highlight w:val="none"/>
                <w:lang w:val="zh-CN"/>
              </w:rPr>
              <w:t>本项目统一以折扣(百分比)进行报价，并以折扣</w:t>
            </w:r>
            <w:r>
              <w:rPr>
                <w:rFonts w:hint="eastAsia" w:cs="宋体"/>
                <w:sz w:val="21"/>
                <w:szCs w:val="21"/>
                <w:highlight w:val="none"/>
                <w:lang w:val="zh-CN"/>
              </w:rPr>
              <w:t>(</w:t>
            </w:r>
            <w:r>
              <w:rPr>
                <w:rFonts w:hint="eastAsia" w:ascii="宋体" w:hAnsi="宋体" w:eastAsia="宋体" w:cs="宋体"/>
                <w:sz w:val="21"/>
                <w:szCs w:val="21"/>
                <w:highlight w:val="none"/>
                <w:lang w:val="zh-CN"/>
              </w:rPr>
              <w:t>N%，N为0-100</w:t>
            </w:r>
            <w:r>
              <w:rPr>
                <w:rFonts w:hint="eastAsia" w:cs="宋体"/>
                <w:sz w:val="21"/>
                <w:szCs w:val="21"/>
                <w:highlight w:val="none"/>
                <w:lang w:val="zh-CN"/>
              </w:rPr>
              <w:t>)</w:t>
            </w:r>
            <w:r>
              <w:rPr>
                <w:rFonts w:hint="eastAsia" w:ascii="宋体" w:hAnsi="宋体" w:eastAsia="宋体" w:cs="宋体"/>
                <w:sz w:val="21"/>
                <w:szCs w:val="21"/>
                <w:highlight w:val="none"/>
                <w:lang w:val="zh-CN"/>
              </w:rPr>
              <w:t>作为价格评审因素和结算支付依据，折扣最高限价为50</w:t>
            </w:r>
            <w:r>
              <w:rPr>
                <w:rFonts w:hint="eastAsia" w:cs="宋体"/>
                <w:sz w:val="21"/>
                <w:szCs w:val="21"/>
                <w:highlight w:val="none"/>
                <w:lang w:val="en-US" w:eastAsia="zh-CN"/>
              </w:rPr>
              <w:t>(</w:t>
            </w:r>
            <w:r>
              <w:rPr>
                <w:rFonts w:hint="eastAsia" w:ascii="宋体" w:hAnsi="宋体" w:eastAsia="宋体" w:cs="宋体"/>
                <w:sz w:val="21"/>
                <w:szCs w:val="21"/>
                <w:highlight w:val="none"/>
                <w:lang w:val="zh-CN"/>
              </w:rPr>
              <w:t>即：N≤50</w:t>
            </w:r>
            <w:r>
              <w:rPr>
                <w:rFonts w:hint="eastAsia" w:cs="宋体"/>
                <w:sz w:val="21"/>
                <w:szCs w:val="21"/>
                <w:highlight w:val="none"/>
                <w:lang w:val="en-US" w:eastAsia="zh-CN"/>
              </w:rPr>
              <w:t>)</w:t>
            </w:r>
            <w:r>
              <w:rPr>
                <w:rFonts w:hint="eastAsia" w:cs="宋体"/>
                <w:sz w:val="21"/>
                <w:szCs w:val="21"/>
                <w:highlight w:val="none"/>
                <w:lang w:val="zh-CN"/>
              </w:rPr>
              <w:t>。</w:t>
            </w:r>
          </w:p>
          <w:p w14:paraId="1D6466AC">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highlight w:val="none"/>
                <w:lang w:val="zh-CN"/>
              </w:rPr>
            </w:pPr>
            <w:r>
              <w:rPr>
                <w:rFonts w:hint="eastAsia" w:cs="宋体"/>
                <w:sz w:val="21"/>
                <w:szCs w:val="21"/>
                <w:highlight w:val="none"/>
                <w:lang w:val="en-US" w:eastAsia="zh-CN"/>
              </w:rPr>
              <w:t>2.</w:t>
            </w:r>
            <w:r>
              <w:rPr>
                <w:rFonts w:hint="eastAsia" w:ascii="宋体" w:hAnsi="宋体" w:eastAsia="宋体" w:cs="宋体"/>
                <w:sz w:val="21"/>
                <w:szCs w:val="21"/>
                <w:highlight w:val="none"/>
                <w:lang w:val="zh-CN"/>
              </w:rPr>
              <w:t>供应商折扣报价不得大于50，否则作无效响应处理。</w:t>
            </w:r>
          </w:p>
        </w:tc>
      </w:tr>
      <w:tr w14:paraId="2CCDFC5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4" w:hRule="atLeast"/>
          <w:jc w:val="center"/>
        </w:trPr>
        <w:tc>
          <w:tcPr>
            <w:tcW w:w="622" w:type="dxa"/>
            <w:vAlign w:val="center"/>
          </w:tcPr>
          <w:p w14:paraId="70DBB87D">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5483AB4F">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highlight w:val="yellow"/>
                <w:lang w:val="zh-CN" w:eastAsia="zh-CN"/>
              </w:rPr>
            </w:pPr>
            <w:r>
              <w:rPr>
                <w:rFonts w:hint="eastAsia" w:ascii="宋体" w:hAnsi="宋体" w:eastAsia="宋体" w:cs="宋体"/>
                <w:sz w:val="21"/>
                <w:szCs w:val="21"/>
                <w:lang w:val="en-US" w:eastAsia="zh-CN"/>
              </w:rPr>
              <w:t>项目属性</w:t>
            </w:r>
          </w:p>
        </w:tc>
        <w:tc>
          <w:tcPr>
            <w:tcW w:w="7061" w:type="dxa"/>
            <w:vAlign w:val="center"/>
          </w:tcPr>
          <w:p w14:paraId="15FC5B3D">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本项目属于服务类采购项目，不对其中涉及的货物的制造商是否享受中小企业扶持政策作出要求。</w:t>
            </w:r>
          </w:p>
        </w:tc>
      </w:tr>
      <w:tr w14:paraId="333BB1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4" w:hRule="atLeast"/>
          <w:jc w:val="center"/>
        </w:trPr>
        <w:tc>
          <w:tcPr>
            <w:tcW w:w="622" w:type="dxa"/>
            <w:vAlign w:val="center"/>
          </w:tcPr>
          <w:p w14:paraId="6C1CD174">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08959EF4">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r>
              <w:rPr>
                <w:rFonts w:hint="eastAsia" w:ascii="宋体" w:hAnsi="宋体" w:eastAsia="宋体" w:cs="宋体"/>
                <w:sz w:val="21"/>
                <w:szCs w:val="21"/>
                <w:lang w:val="en-US" w:eastAsia="zh-CN"/>
              </w:rPr>
              <w:t>本项目所属行业</w:t>
            </w:r>
          </w:p>
        </w:tc>
        <w:tc>
          <w:tcPr>
            <w:tcW w:w="7061" w:type="dxa"/>
            <w:vAlign w:val="center"/>
          </w:tcPr>
          <w:p w14:paraId="419C3179">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napToGrid w:val="0"/>
                <w:kern w:val="2"/>
                <w:sz w:val="21"/>
                <w:szCs w:val="21"/>
                <w:lang w:val="en-US" w:eastAsia="zh-CN" w:bidi="ar-SA"/>
              </w:rPr>
            </w:pPr>
            <w:r>
              <w:rPr>
                <w:rFonts w:hint="eastAsia" w:ascii="宋体" w:hAnsi="宋体" w:eastAsia="宋体" w:cs="宋体"/>
                <w:color w:val="000000" w:themeColor="text1"/>
                <w:sz w:val="21"/>
                <w:szCs w:val="21"/>
                <w:lang w:val="en-US" w:eastAsia="zh-CN"/>
                <w14:textFill>
                  <w14:solidFill>
                    <w14:schemeClr w14:val="tx1"/>
                  </w14:solidFill>
                </w14:textFill>
              </w:rPr>
              <w:t>本项目所属行业为</w:t>
            </w:r>
            <w:r>
              <w:rPr>
                <w:rFonts w:hint="eastAsia" w:cs="宋体"/>
                <w:color w:val="000000" w:themeColor="text1"/>
                <w:sz w:val="21"/>
                <w:szCs w:val="21"/>
                <w:lang w:val="en-US" w:eastAsia="zh-CN"/>
                <w14:textFill>
                  <w14:solidFill>
                    <w14:schemeClr w14:val="tx1"/>
                  </w14:solidFill>
                </w14:textFill>
              </w:rPr>
              <w:t>其他未列明行</w:t>
            </w:r>
            <w:r>
              <w:rPr>
                <w:rFonts w:hint="eastAsia" w:ascii="宋体" w:hAnsi="宋体" w:eastAsia="宋体" w:cs="宋体"/>
                <w:color w:val="000000" w:themeColor="text1"/>
                <w:sz w:val="21"/>
                <w:szCs w:val="21"/>
                <w:lang w:val="en-US" w:eastAsia="zh-CN"/>
                <w14:textFill>
                  <w14:solidFill>
                    <w14:schemeClr w14:val="tx1"/>
                  </w14:solidFill>
                </w14:textFill>
              </w:rPr>
              <w:t>业</w:t>
            </w:r>
            <w:r>
              <w:rPr>
                <w:rFonts w:hint="eastAsia" w:ascii="宋体" w:hAnsi="宋体" w:eastAsia="宋体" w:cs="宋体"/>
                <w:color w:val="auto"/>
                <w:sz w:val="21"/>
                <w:szCs w:val="21"/>
                <w:u w:val="none"/>
                <w:lang w:val="en-US" w:eastAsia="zh-CN"/>
              </w:rPr>
              <w:t>。</w:t>
            </w:r>
          </w:p>
        </w:tc>
      </w:tr>
      <w:tr w14:paraId="4619959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4" w:hRule="atLeast"/>
          <w:jc w:val="center"/>
        </w:trPr>
        <w:tc>
          <w:tcPr>
            <w:tcW w:w="622" w:type="dxa"/>
            <w:vAlign w:val="center"/>
          </w:tcPr>
          <w:p w14:paraId="2DEAED10">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6909EA2A">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定向采购</w:t>
            </w:r>
          </w:p>
          <w:p w14:paraId="3982555B">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en-US" w:eastAsia="zh-CN"/>
              </w:rPr>
            </w:pPr>
            <w:r>
              <w:rPr>
                <w:rFonts w:hint="eastAsia" w:ascii="宋体" w:hAnsi="宋体" w:eastAsia="宋体" w:cs="宋体"/>
                <w:sz w:val="21"/>
                <w:szCs w:val="21"/>
                <w:lang w:val="zh-CN"/>
              </w:rPr>
              <w:t>(实质性要求)</w:t>
            </w:r>
          </w:p>
        </w:tc>
        <w:tc>
          <w:tcPr>
            <w:tcW w:w="7061" w:type="dxa"/>
            <w:vAlign w:val="center"/>
          </w:tcPr>
          <w:p w14:paraId="4AC97FDA">
            <w:pPr>
              <w:pStyle w:val="47"/>
              <w:keepNext w:val="0"/>
              <w:keepLines w:val="0"/>
              <w:pageBreakBefore w:val="0"/>
              <w:widowControl w:val="0"/>
              <w:numPr>
                <w:ilvl w:val="0"/>
                <w:numId w:val="0"/>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napToGrid w:val="0"/>
                <w:color w:val="auto"/>
                <w:kern w:val="2"/>
                <w:sz w:val="21"/>
                <w:szCs w:val="21"/>
                <w:lang w:val="en-US" w:eastAsia="zh-CN" w:bidi="ar-SA"/>
              </w:rPr>
            </w:pPr>
            <w:r>
              <w:rPr>
                <w:rFonts w:hint="eastAsia" w:ascii="宋体" w:hAnsi="宋体" w:eastAsia="宋体" w:cs="宋体"/>
                <w:color w:val="auto"/>
                <w:sz w:val="21"/>
                <w:szCs w:val="21"/>
                <w:highlight w:val="none"/>
              </w:rPr>
              <w:t>本项目为</w:t>
            </w:r>
            <w:r>
              <w:rPr>
                <w:rFonts w:hint="eastAsia" w:ascii="宋体" w:hAnsi="宋体" w:eastAsia="宋体" w:cs="宋体"/>
                <w:color w:val="auto"/>
                <w:sz w:val="21"/>
                <w:szCs w:val="21"/>
                <w:highlight w:val="none"/>
                <w:lang w:val="en-US" w:eastAsia="zh-CN"/>
              </w:rPr>
              <w:t>专门</w:t>
            </w:r>
            <w:r>
              <w:rPr>
                <w:rFonts w:hint="eastAsia" w:ascii="宋体" w:hAnsi="宋体" w:eastAsia="宋体" w:cs="宋体"/>
                <w:color w:val="auto"/>
                <w:sz w:val="21"/>
                <w:szCs w:val="21"/>
                <w:highlight w:val="none"/>
                <w:lang w:val="zh-CN"/>
              </w:rPr>
              <w:t>面向中小企</w:t>
            </w:r>
            <w:r>
              <w:rPr>
                <w:rFonts w:hint="eastAsia" w:ascii="宋体" w:hAnsi="宋体" w:eastAsia="宋体" w:cs="宋体"/>
                <w:color w:val="auto"/>
                <w:sz w:val="21"/>
                <w:szCs w:val="21"/>
                <w:lang w:val="zh-CN"/>
              </w:rPr>
              <w:t>业</w:t>
            </w:r>
            <w:r>
              <w:rPr>
                <w:rFonts w:hint="eastAsia" w:ascii="宋体" w:hAnsi="宋体" w:eastAsia="宋体" w:cs="宋体"/>
                <w:color w:val="auto"/>
                <w:sz w:val="21"/>
                <w:szCs w:val="21"/>
              </w:rPr>
              <w:t>采购</w:t>
            </w:r>
            <w:r>
              <w:rPr>
                <w:rFonts w:hint="eastAsia" w:ascii="宋体" w:hAnsi="宋体" w:eastAsia="宋体" w:cs="宋体"/>
                <w:color w:val="auto"/>
                <w:sz w:val="21"/>
                <w:szCs w:val="21"/>
                <w:lang w:val="zh-CN"/>
              </w:rPr>
              <w:t>的项目</w:t>
            </w:r>
            <w:r>
              <w:rPr>
                <w:rFonts w:hint="eastAsia" w:cs="宋体"/>
                <w:color w:val="auto"/>
                <w:sz w:val="21"/>
                <w:szCs w:val="21"/>
                <w:lang w:val="zh-CN"/>
              </w:rPr>
              <w:t>。</w:t>
            </w:r>
          </w:p>
        </w:tc>
      </w:tr>
      <w:tr w14:paraId="5AFDB7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64" w:hRule="atLeast"/>
          <w:jc w:val="center"/>
        </w:trPr>
        <w:tc>
          <w:tcPr>
            <w:tcW w:w="622" w:type="dxa"/>
            <w:vAlign w:val="center"/>
          </w:tcPr>
          <w:p w14:paraId="2062B9A6">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13A0A348">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zh-CN"/>
              </w:rPr>
              <w:t>本国</w:t>
            </w:r>
            <w:r>
              <w:rPr>
                <w:rFonts w:hint="eastAsia" w:ascii="宋体" w:hAnsi="宋体" w:eastAsia="宋体" w:cs="宋体"/>
                <w:sz w:val="21"/>
                <w:szCs w:val="21"/>
                <w:lang w:val="en-US" w:eastAsia="zh-CN"/>
              </w:rPr>
              <w:t>服务</w:t>
            </w:r>
          </w:p>
          <w:p w14:paraId="13A525DD">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r>
              <w:rPr>
                <w:rFonts w:hint="eastAsia" w:ascii="宋体" w:hAnsi="宋体" w:eastAsia="宋体" w:cs="宋体"/>
                <w:sz w:val="21"/>
                <w:szCs w:val="21"/>
                <w:lang w:val="zh-CN"/>
              </w:rPr>
              <w:t>(实质性要求)</w:t>
            </w:r>
          </w:p>
        </w:tc>
        <w:tc>
          <w:tcPr>
            <w:tcW w:w="7061" w:type="dxa"/>
            <w:vAlign w:val="center"/>
          </w:tcPr>
          <w:p w14:paraId="70945100">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r>
              <w:rPr>
                <w:rFonts w:hint="eastAsia" w:cs="宋体"/>
                <w:sz w:val="21"/>
                <w:szCs w:val="21"/>
                <w:lang w:val="en-US" w:eastAsia="zh-CN"/>
              </w:rPr>
              <w:t>参照</w:t>
            </w:r>
            <w:r>
              <w:rPr>
                <w:rFonts w:hint="eastAsia" w:ascii="宋体" w:hAnsi="宋体" w:eastAsia="宋体" w:cs="宋体"/>
                <w:sz w:val="21"/>
                <w:szCs w:val="21"/>
                <w:lang w:val="zh-CN"/>
              </w:rPr>
              <w:t>《中华人民共和国政府采购法》第十条的规定，本项目采购本国</w:t>
            </w:r>
            <w:r>
              <w:rPr>
                <w:rFonts w:hint="eastAsia" w:ascii="宋体" w:hAnsi="宋体" w:eastAsia="宋体" w:cs="宋体"/>
                <w:sz w:val="21"/>
                <w:szCs w:val="21"/>
                <w:lang w:val="en-US" w:eastAsia="zh-CN"/>
              </w:rPr>
              <w:t>服务</w:t>
            </w:r>
            <w:r>
              <w:rPr>
                <w:rFonts w:hint="eastAsia" w:ascii="宋体" w:hAnsi="宋体" w:eastAsia="宋体" w:cs="宋体"/>
                <w:sz w:val="21"/>
                <w:szCs w:val="21"/>
                <w:lang w:val="zh-CN"/>
              </w:rPr>
              <w:t>。</w:t>
            </w:r>
          </w:p>
        </w:tc>
      </w:tr>
      <w:tr w14:paraId="1C64A56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6B0111BA">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24766D17">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采购方式</w:t>
            </w:r>
          </w:p>
        </w:tc>
        <w:tc>
          <w:tcPr>
            <w:tcW w:w="7061" w:type="dxa"/>
            <w:vAlign w:val="center"/>
          </w:tcPr>
          <w:p w14:paraId="3FA9BAB4">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竞争性磋商</w:t>
            </w:r>
            <w:r>
              <w:rPr>
                <w:rFonts w:hint="eastAsia" w:cs="宋体"/>
                <w:sz w:val="21"/>
                <w:szCs w:val="21"/>
                <w:lang w:val="en-US" w:eastAsia="zh-CN"/>
              </w:rPr>
              <w:t>。</w:t>
            </w:r>
          </w:p>
        </w:tc>
      </w:tr>
      <w:tr w14:paraId="00F7AEF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4691CA5A">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7B51C8CC">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评审</w:t>
            </w:r>
            <w:r>
              <w:rPr>
                <w:rFonts w:hint="eastAsia" w:ascii="宋体" w:hAnsi="宋体" w:eastAsia="宋体" w:cs="宋体"/>
                <w:color w:val="auto"/>
                <w:sz w:val="21"/>
                <w:szCs w:val="21"/>
                <w:lang w:val="zh-CN"/>
              </w:rPr>
              <w:t>方法</w:t>
            </w:r>
          </w:p>
        </w:tc>
        <w:tc>
          <w:tcPr>
            <w:tcW w:w="7061" w:type="dxa"/>
            <w:vAlign w:val="center"/>
          </w:tcPr>
          <w:p w14:paraId="50643061">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综合评分法</w:t>
            </w:r>
            <w:r>
              <w:rPr>
                <w:rFonts w:hint="eastAsia" w:cs="宋体"/>
                <w:color w:val="auto"/>
                <w:sz w:val="21"/>
                <w:szCs w:val="21"/>
                <w:lang w:val="zh-CN"/>
              </w:rPr>
              <w:t>。</w:t>
            </w:r>
          </w:p>
        </w:tc>
      </w:tr>
      <w:tr w14:paraId="2171B72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622" w:type="dxa"/>
            <w:vAlign w:val="center"/>
          </w:tcPr>
          <w:p w14:paraId="08BAFBA0">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66D6AD3E">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竞争范围</w:t>
            </w:r>
          </w:p>
        </w:tc>
        <w:tc>
          <w:tcPr>
            <w:tcW w:w="7061" w:type="dxa"/>
            <w:vAlign w:val="center"/>
          </w:tcPr>
          <w:p w14:paraId="2E8F23AE">
            <w:pPr>
              <w:pStyle w:val="47"/>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rPr>
              <w:t>公开竞争</w:t>
            </w:r>
            <w:r>
              <w:rPr>
                <w:rFonts w:hint="eastAsia" w:cs="宋体"/>
                <w:color w:val="auto"/>
                <w:sz w:val="21"/>
                <w:szCs w:val="21"/>
                <w:lang w:eastAsia="zh-CN"/>
              </w:rPr>
              <w:t>。</w:t>
            </w:r>
          </w:p>
        </w:tc>
      </w:tr>
      <w:tr w14:paraId="15BF804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485" w:hRule="atLeast"/>
          <w:jc w:val="center"/>
        </w:trPr>
        <w:tc>
          <w:tcPr>
            <w:tcW w:w="622" w:type="dxa"/>
            <w:vAlign w:val="center"/>
          </w:tcPr>
          <w:p w14:paraId="068C725D">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44FE5B78">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合同定价方式</w:t>
            </w:r>
          </w:p>
          <w:p w14:paraId="59C482F0">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rPr>
              <w:t>(实质性要求)</w:t>
            </w:r>
          </w:p>
        </w:tc>
        <w:tc>
          <w:tcPr>
            <w:tcW w:w="7061" w:type="dxa"/>
            <w:vAlign w:val="center"/>
          </w:tcPr>
          <w:p w14:paraId="175B6556">
            <w:pPr>
              <w:pStyle w:val="47"/>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en-US" w:eastAsia="zh-CN"/>
              </w:rPr>
            </w:pPr>
            <w:bookmarkStart w:id="850" w:name="_GoBack"/>
            <w:r>
              <w:rPr>
                <w:rFonts w:hint="eastAsia" w:cs="宋体"/>
                <w:color w:val="auto"/>
                <w:sz w:val="21"/>
                <w:szCs w:val="21"/>
                <w:lang w:val="en-US" w:eastAsia="zh-CN"/>
              </w:rPr>
              <w:t>固定单价(折扣)</w:t>
            </w:r>
            <w:bookmarkEnd w:id="850"/>
            <w:r>
              <w:rPr>
                <w:rFonts w:hint="eastAsia" w:cs="宋体"/>
                <w:color w:val="auto"/>
                <w:sz w:val="21"/>
                <w:szCs w:val="21"/>
                <w:lang w:val="en-US" w:eastAsia="zh-CN"/>
              </w:rPr>
              <w:t>。</w:t>
            </w:r>
          </w:p>
        </w:tc>
      </w:tr>
      <w:tr w14:paraId="252B41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1AE49C60">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zh-CN"/>
              </w:rPr>
            </w:pPr>
          </w:p>
        </w:tc>
        <w:tc>
          <w:tcPr>
            <w:tcW w:w="2020" w:type="dxa"/>
            <w:vAlign w:val="center"/>
          </w:tcPr>
          <w:p w14:paraId="26F2C186">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联合体磋商</w:t>
            </w:r>
          </w:p>
          <w:p w14:paraId="39350901">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(实质性要求)</w:t>
            </w:r>
          </w:p>
        </w:tc>
        <w:tc>
          <w:tcPr>
            <w:tcW w:w="7061" w:type="dxa"/>
            <w:vAlign w:val="center"/>
          </w:tcPr>
          <w:p w14:paraId="5E7BB092">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本项目不接受联合体参加本次采购活动。</w:t>
            </w:r>
          </w:p>
        </w:tc>
      </w:tr>
      <w:tr w14:paraId="77B8B2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1DC32BBF">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en-US" w:eastAsia="zh-CN" w:bidi="ar-SA"/>
              </w:rPr>
            </w:pPr>
          </w:p>
        </w:tc>
        <w:tc>
          <w:tcPr>
            <w:tcW w:w="2020" w:type="dxa"/>
            <w:vAlign w:val="center"/>
          </w:tcPr>
          <w:p w14:paraId="0FFC8B01">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现场</w:t>
            </w:r>
            <w:r>
              <w:rPr>
                <w:rFonts w:hint="eastAsia" w:ascii="宋体" w:hAnsi="宋体" w:eastAsia="宋体" w:cs="宋体"/>
                <w:sz w:val="21"/>
                <w:szCs w:val="21"/>
                <w:lang w:val="en-US" w:eastAsia="zh-CN"/>
              </w:rPr>
              <w:t>考察、标前</w:t>
            </w:r>
          </w:p>
          <w:p w14:paraId="59E0417B">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rPr>
              <w:t>答疑</w:t>
            </w:r>
            <w:r>
              <w:rPr>
                <w:rFonts w:hint="eastAsia" w:ascii="宋体" w:hAnsi="宋体" w:eastAsia="宋体" w:cs="宋体"/>
                <w:sz w:val="21"/>
                <w:szCs w:val="21"/>
                <w:lang w:val="en-US" w:eastAsia="zh-CN"/>
              </w:rPr>
              <w:t>会</w:t>
            </w:r>
          </w:p>
        </w:tc>
        <w:tc>
          <w:tcPr>
            <w:tcW w:w="7061" w:type="dxa"/>
            <w:vAlign w:val="center"/>
          </w:tcPr>
          <w:p w14:paraId="2711FEB3">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default" w:ascii="宋体" w:hAnsi="宋体" w:eastAsia="宋体" w:cs="宋体"/>
                <w:sz w:val="21"/>
                <w:szCs w:val="21"/>
                <w:highlight w:val="magenta"/>
                <w:lang w:val="en-US" w:eastAsia="zh-CN"/>
              </w:rPr>
            </w:pPr>
            <w:r>
              <w:rPr>
                <w:rFonts w:hint="eastAsia" w:cs="宋体"/>
                <w:sz w:val="21"/>
                <w:szCs w:val="21"/>
                <w:lang w:val="en-US" w:eastAsia="zh-CN"/>
              </w:rPr>
              <w:t>不组织。</w:t>
            </w:r>
          </w:p>
        </w:tc>
      </w:tr>
      <w:tr w14:paraId="652522D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727771D5">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en-US" w:eastAsia="zh-CN" w:bidi="ar-SA"/>
              </w:rPr>
            </w:pPr>
          </w:p>
        </w:tc>
        <w:tc>
          <w:tcPr>
            <w:tcW w:w="2020" w:type="dxa"/>
            <w:shd w:val="clear" w:color="auto" w:fill="auto"/>
            <w:vAlign w:val="center"/>
          </w:tcPr>
          <w:p w14:paraId="2A5B185E">
            <w:pPr>
              <w:pStyle w:val="50"/>
              <w:ind w:left="60" w:leftChars="25" w:right="60" w:rightChars="25"/>
              <w:rPr>
                <w:rFonts w:hint="eastAsia" w:ascii="宋体" w:hAnsi="宋体" w:eastAsia="宋体" w:cs="宋体"/>
                <w:color w:val="000000" w:themeColor="text1"/>
                <w:kern w:val="2"/>
                <w:sz w:val="21"/>
                <w:szCs w:val="21"/>
                <w:lang w:val="en-US" w:eastAsia="zh-CN" w:bidi="ar-SA"/>
                <w14:textFill>
                  <w14:solidFill>
                    <w14:schemeClr w14:val="tx1"/>
                  </w14:solidFill>
                </w14:textFill>
              </w:rPr>
            </w:pPr>
            <w:r>
              <w:rPr>
                <w:rFonts w:hint="eastAsia" w:cs="宋体"/>
                <w:szCs w:val="21"/>
                <w:lang w:val="zh-CN"/>
              </w:rPr>
              <w:t>磋商保证金</w:t>
            </w:r>
          </w:p>
        </w:tc>
        <w:tc>
          <w:tcPr>
            <w:tcW w:w="7061" w:type="dxa"/>
            <w:shd w:val="clear" w:color="auto" w:fill="auto"/>
            <w:vAlign w:val="center"/>
          </w:tcPr>
          <w:p w14:paraId="2C6067E4">
            <w:pPr>
              <w:pStyle w:val="47"/>
              <w:ind w:left="60" w:leftChars="25" w:right="60" w:rightChars="25" w:firstLine="0" w:firstLineChars="0"/>
              <w:rPr>
                <w:rFonts w:hint="eastAsia" w:ascii="宋体" w:hAnsi="宋体" w:eastAsia="宋体" w:cs="宋体"/>
                <w:snapToGrid w:val="0"/>
                <w:color w:val="000000" w:themeColor="text1"/>
                <w:kern w:val="2"/>
                <w:sz w:val="21"/>
                <w:szCs w:val="21"/>
                <w:highlight w:val="magenta"/>
                <w:lang w:val="en-US" w:eastAsia="zh-CN" w:bidi="ar-SA"/>
                <w14:textFill>
                  <w14:solidFill>
                    <w14:schemeClr w14:val="tx1"/>
                  </w14:solidFill>
                </w14:textFill>
              </w:rPr>
            </w:pPr>
            <w:r>
              <w:rPr>
                <w:rFonts w:hint="eastAsia" w:cs="宋体"/>
                <w:szCs w:val="21"/>
                <w:lang w:val="en-US" w:eastAsia="zh-CN"/>
              </w:rPr>
              <w:t>本项目不收取磋商保证金</w:t>
            </w:r>
            <w:r>
              <w:rPr>
                <w:rFonts w:hint="eastAsia" w:cs="宋体"/>
                <w:szCs w:val="21"/>
              </w:rPr>
              <w:t>。</w:t>
            </w:r>
          </w:p>
        </w:tc>
      </w:tr>
      <w:tr w14:paraId="1463BE0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4D0F8F8E">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p>
        </w:tc>
        <w:tc>
          <w:tcPr>
            <w:tcW w:w="2020" w:type="dxa"/>
            <w:vAlign w:val="center"/>
          </w:tcPr>
          <w:p w14:paraId="3125D75D">
            <w:pPr>
              <w:pStyle w:val="50"/>
              <w:keepNext w:val="0"/>
              <w:keepLines w:val="0"/>
              <w:pageBreakBefore w:val="0"/>
              <w:widowControl w:val="0"/>
              <w:kinsoku/>
              <w:wordWrap w:val="0"/>
              <w:overflowPunct/>
              <w:topLinePunct/>
              <w:autoSpaceDE/>
              <w:autoSpaceDN/>
              <w:bidi w:val="0"/>
              <w:adjustRightInd w:val="0"/>
              <w:snapToGrid w:val="0"/>
              <w:ind w:left="24" w:leftChars="10" w:right="24" w:rightChars="10"/>
              <w:textAlignment w:val="auto"/>
              <w:rPr>
                <w:rFonts w:hint="eastAsia"/>
              </w:rPr>
            </w:pPr>
            <w:r>
              <w:rPr>
                <w:rFonts w:hint="eastAsia"/>
                <w:lang w:val="zh-CN"/>
              </w:rPr>
              <w:t>采购异常低价竞争预防措施</w:t>
            </w:r>
          </w:p>
          <w:p w14:paraId="2D47B6CD">
            <w:pPr>
              <w:pStyle w:val="50"/>
              <w:keepNext w:val="0"/>
              <w:keepLines w:val="0"/>
              <w:pageBreakBefore w:val="0"/>
              <w:widowControl w:val="0"/>
              <w:kinsoku/>
              <w:wordWrap w:val="0"/>
              <w:overflowPunct/>
              <w:topLinePunct/>
              <w:autoSpaceDE/>
              <w:autoSpaceDN/>
              <w:bidi w:val="0"/>
              <w:adjustRightInd w:val="0"/>
              <w:snapToGrid w:val="0"/>
              <w:ind w:left="24" w:leftChars="10" w:right="24" w:rightChars="10" w:firstLine="0" w:firstLineChars="0"/>
              <w:textAlignment w:val="auto"/>
              <w:rPr>
                <w:rFonts w:hint="eastAsia" w:ascii="宋体" w:hAnsi="宋体" w:eastAsia="宋体" w:cs="宋体"/>
                <w:kern w:val="2"/>
                <w:sz w:val="21"/>
                <w:szCs w:val="21"/>
                <w:lang w:val="en-US" w:eastAsia="zh-CN" w:bidi="ar-SA"/>
              </w:rPr>
            </w:pPr>
            <w:r>
              <w:rPr>
                <w:rFonts w:hint="eastAsia"/>
                <w:lang w:eastAsia="zh-CN"/>
              </w:rPr>
              <w:t>(</w:t>
            </w:r>
            <w:r>
              <w:rPr>
                <w:rFonts w:hint="eastAsia"/>
              </w:rPr>
              <w:t>实质性要求</w:t>
            </w:r>
            <w:r>
              <w:rPr>
                <w:rFonts w:hint="eastAsia"/>
                <w:lang w:eastAsia="zh-CN"/>
              </w:rPr>
              <w:t>)</w:t>
            </w:r>
          </w:p>
        </w:tc>
        <w:tc>
          <w:tcPr>
            <w:tcW w:w="7061" w:type="dxa"/>
            <w:vAlign w:val="center"/>
          </w:tcPr>
          <w:p w14:paraId="47F0607A">
            <w:pPr>
              <w:pStyle w:val="47"/>
              <w:keepNext w:val="0"/>
              <w:keepLines w:val="0"/>
              <w:pageBreakBefore w:val="0"/>
              <w:widowControl w:val="0"/>
              <w:kinsoku/>
              <w:wordWrap w:val="0"/>
              <w:overflowPunct/>
              <w:topLinePunct/>
              <w:autoSpaceDE/>
              <w:autoSpaceDN/>
              <w:bidi w:val="0"/>
              <w:adjustRightInd w:val="0"/>
              <w:snapToGrid w:val="0"/>
              <w:spacing w:line="360" w:lineRule="exact"/>
              <w:ind w:left="60" w:leftChars="25" w:right="24" w:rightChars="10"/>
              <w:textAlignment w:val="auto"/>
              <w:rPr>
                <w:rFonts w:hint="eastAsia" w:cs="宋体"/>
                <w:color w:val="auto"/>
                <w:sz w:val="21"/>
                <w:szCs w:val="21"/>
                <w:highlight w:val="none"/>
              </w:rPr>
            </w:pPr>
            <w:r>
              <w:rPr>
                <w:rFonts w:hint="eastAsia" w:cs="宋体"/>
                <w:color w:val="auto"/>
                <w:sz w:val="21"/>
                <w:szCs w:val="21"/>
                <w:highlight w:val="none"/>
              </w:rPr>
              <w:t>一、出现下列情形之一的，评审委员会应当启动异常低价投标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审查程序：</w:t>
            </w:r>
          </w:p>
          <w:p w14:paraId="01F0B016">
            <w:pPr>
              <w:pStyle w:val="47"/>
              <w:keepNext w:val="0"/>
              <w:keepLines w:val="0"/>
              <w:pageBreakBefore w:val="0"/>
              <w:widowControl w:val="0"/>
              <w:kinsoku/>
              <w:wordWrap w:val="0"/>
              <w:overflowPunct/>
              <w:topLinePunct/>
              <w:autoSpaceDE/>
              <w:autoSpaceDN/>
              <w:bidi w:val="0"/>
              <w:adjustRightInd w:val="0"/>
              <w:snapToGrid w:val="0"/>
              <w:spacing w:line="360" w:lineRule="exact"/>
              <w:ind w:left="60" w:leftChars="25" w:right="24" w:rightChars="10"/>
              <w:textAlignment w:val="auto"/>
              <w:rPr>
                <w:rFonts w:hint="eastAsia" w:cs="宋体"/>
                <w:color w:val="auto"/>
                <w:sz w:val="21"/>
                <w:szCs w:val="21"/>
                <w:highlight w:val="none"/>
              </w:rPr>
            </w:pPr>
            <w:r>
              <w:rPr>
                <w:rFonts w:hint="eastAsia" w:cs="宋体"/>
                <w:color w:val="auto"/>
                <w:sz w:val="21"/>
                <w:szCs w:val="21"/>
                <w:highlight w:val="none"/>
              </w:rPr>
              <w:t>1.投标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报价低于全部通过符合性审查供应商投标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报价平均值</w:t>
            </w:r>
            <w:r>
              <w:rPr>
                <w:rFonts w:hint="eastAsia" w:cs="宋体"/>
                <w:color w:val="auto"/>
                <w:sz w:val="21"/>
                <w:szCs w:val="21"/>
                <w:highlight w:val="none"/>
                <w:lang w:val="en-US" w:eastAsia="zh-CN"/>
              </w:rPr>
              <w:t>65</w:t>
            </w:r>
            <w:r>
              <w:rPr>
                <w:rFonts w:hint="eastAsia" w:cs="宋体"/>
                <w:color w:val="auto"/>
                <w:sz w:val="21"/>
                <w:szCs w:val="21"/>
                <w:highlight w:val="none"/>
              </w:rPr>
              <w:t>%的，即投标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报价&lt;全部通过符合性审查供应商投标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报价平均值×</w:t>
            </w:r>
            <w:r>
              <w:rPr>
                <w:rFonts w:hint="eastAsia" w:cs="宋体"/>
                <w:color w:val="auto"/>
                <w:sz w:val="21"/>
                <w:szCs w:val="21"/>
                <w:highlight w:val="none"/>
                <w:lang w:val="en-US" w:eastAsia="zh-CN"/>
              </w:rPr>
              <w:t>65</w:t>
            </w:r>
            <w:r>
              <w:rPr>
                <w:rFonts w:hint="eastAsia" w:cs="宋体"/>
                <w:color w:val="auto"/>
                <w:sz w:val="21"/>
                <w:szCs w:val="21"/>
                <w:highlight w:val="none"/>
              </w:rPr>
              <w:t>%；</w:t>
            </w:r>
          </w:p>
          <w:p w14:paraId="59D3E15A">
            <w:pPr>
              <w:pStyle w:val="47"/>
              <w:keepNext w:val="0"/>
              <w:keepLines w:val="0"/>
              <w:pageBreakBefore w:val="0"/>
              <w:widowControl w:val="0"/>
              <w:kinsoku/>
              <w:wordWrap w:val="0"/>
              <w:overflowPunct/>
              <w:topLinePunct/>
              <w:autoSpaceDE/>
              <w:autoSpaceDN/>
              <w:bidi w:val="0"/>
              <w:adjustRightInd w:val="0"/>
              <w:snapToGrid w:val="0"/>
              <w:spacing w:line="360" w:lineRule="exact"/>
              <w:ind w:left="60" w:leftChars="25" w:right="24" w:rightChars="10"/>
              <w:textAlignment w:val="auto"/>
              <w:rPr>
                <w:rFonts w:hint="eastAsia" w:cs="宋体"/>
                <w:color w:val="auto"/>
                <w:sz w:val="21"/>
                <w:szCs w:val="21"/>
                <w:highlight w:val="none"/>
              </w:rPr>
            </w:pPr>
            <w:r>
              <w:rPr>
                <w:rFonts w:hint="eastAsia" w:cs="宋体"/>
                <w:color w:val="auto"/>
                <w:sz w:val="21"/>
                <w:szCs w:val="21"/>
                <w:highlight w:val="none"/>
              </w:rPr>
              <w:t>2.投标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报价低于通过符合性审查的次低报价供应商投标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报价</w:t>
            </w:r>
            <w:r>
              <w:rPr>
                <w:rFonts w:hint="eastAsia" w:cs="宋体"/>
                <w:color w:val="auto"/>
                <w:sz w:val="21"/>
                <w:szCs w:val="21"/>
                <w:highlight w:val="none"/>
                <w:lang w:val="en-US" w:eastAsia="zh-CN"/>
              </w:rPr>
              <w:t>65</w:t>
            </w:r>
            <w:r>
              <w:rPr>
                <w:rFonts w:hint="eastAsia" w:cs="宋体"/>
                <w:color w:val="auto"/>
                <w:sz w:val="21"/>
                <w:szCs w:val="21"/>
                <w:highlight w:val="none"/>
              </w:rPr>
              <w:t>%的，即投标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报价&lt;通过符合性审查的次低报价供应商投标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报价×</w:t>
            </w:r>
            <w:r>
              <w:rPr>
                <w:rFonts w:hint="eastAsia" w:cs="宋体"/>
                <w:color w:val="auto"/>
                <w:sz w:val="21"/>
                <w:szCs w:val="21"/>
                <w:highlight w:val="none"/>
                <w:lang w:val="en-US" w:eastAsia="zh-CN"/>
              </w:rPr>
              <w:t>65</w:t>
            </w:r>
            <w:r>
              <w:rPr>
                <w:rFonts w:hint="eastAsia" w:cs="宋体"/>
                <w:color w:val="auto"/>
                <w:sz w:val="21"/>
                <w:szCs w:val="21"/>
                <w:highlight w:val="none"/>
              </w:rPr>
              <w:t>%；</w:t>
            </w:r>
          </w:p>
          <w:p w14:paraId="704B96E5">
            <w:pPr>
              <w:pStyle w:val="47"/>
              <w:keepNext w:val="0"/>
              <w:keepLines w:val="0"/>
              <w:pageBreakBefore w:val="0"/>
              <w:widowControl w:val="0"/>
              <w:kinsoku/>
              <w:wordWrap w:val="0"/>
              <w:overflowPunct/>
              <w:topLinePunct/>
              <w:autoSpaceDE/>
              <w:autoSpaceDN/>
              <w:bidi w:val="0"/>
              <w:adjustRightInd w:val="0"/>
              <w:snapToGrid w:val="0"/>
              <w:spacing w:line="360" w:lineRule="exact"/>
              <w:ind w:left="60" w:leftChars="25" w:right="24" w:rightChars="10"/>
              <w:textAlignment w:val="auto"/>
              <w:rPr>
                <w:rFonts w:hint="eastAsia" w:cs="宋体"/>
                <w:color w:val="auto"/>
                <w:sz w:val="21"/>
                <w:szCs w:val="21"/>
                <w:highlight w:val="none"/>
              </w:rPr>
            </w:pPr>
            <w:r>
              <w:rPr>
                <w:rFonts w:hint="eastAsia" w:cs="宋体"/>
                <w:color w:val="auto"/>
                <w:sz w:val="21"/>
                <w:szCs w:val="21"/>
                <w:highlight w:val="none"/>
              </w:rPr>
              <w:t>3.投标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报价低于采购项目最高限价</w:t>
            </w:r>
            <w:r>
              <w:rPr>
                <w:rFonts w:hint="eastAsia" w:cs="宋体"/>
                <w:color w:val="auto"/>
                <w:sz w:val="21"/>
                <w:szCs w:val="21"/>
                <w:highlight w:val="none"/>
                <w:lang w:val="en-US" w:eastAsia="zh-CN"/>
              </w:rPr>
              <w:t>6</w:t>
            </w:r>
            <w:r>
              <w:rPr>
                <w:rFonts w:hint="eastAsia" w:cs="宋体"/>
                <w:color w:val="auto"/>
                <w:sz w:val="21"/>
                <w:szCs w:val="21"/>
                <w:highlight w:val="none"/>
              </w:rPr>
              <w:t>5%的，即投标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报价&lt;采购项目最高限价×</w:t>
            </w:r>
            <w:r>
              <w:rPr>
                <w:rFonts w:hint="eastAsia" w:cs="宋体"/>
                <w:color w:val="auto"/>
                <w:sz w:val="21"/>
                <w:szCs w:val="21"/>
                <w:highlight w:val="none"/>
                <w:lang w:val="en-US" w:eastAsia="zh-CN"/>
              </w:rPr>
              <w:t>6</w:t>
            </w:r>
            <w:r>
              <w:rPr>
                <w:rFonts w:hint="eastAsia" w:cs="宋体"/>
                <w:color w:val="auto"/>
                <w:sz w:val="21"/>
                <w:szCs w:val="21"/>
                <w:highlight w:val="none"/>
              </w:rPr>
              <w:t>5%；</w:t>
            </w:r>
          </w:p>
          <w:p w14:paraId="4156A6DA">
            <w:pPr>
              <w:pStyle w:val="47"/>
              <w:keepNext w:val="0"/>
              <w:keepLines w:val="0"/>
              <w:pageBreakBefore w:val="0"/>
              <w:widowControl w:val="0"/>
              <w:kinsoku/>
              <w:wordWrap w:val="0"/>
              <w:overflowPunct/>
              <w:topLinePunct/>
              <w:autoSpaceDE/>
              <w:autoSpaceDN/>
              <w:bidi w:val="0"/>
              <w:adjustRightInd w:val="0"/>
              <w:snapToGrid w:val="0"/>
              <w:spacing w:line="360" w:lineRule="exact"/>
              <w:ind w:left="60" w:leftChars="25" w:right="24" w:rightChars="10"/>
              <w:textAlignment w:val="auto"/>
              <w:rPr>
                <w:rFonts w:hint="eastAsia" w:cs="宋体"/>
                <w:color w:val="auto"/>
                <w:sz w:val="21"/>
                <w:szCs w:val="21"/>
                <w:highlight w:val="none"/>
              </w:rPr>
            </w:pPr>
            <w:r>
              <w:rPr>
                <w:rFonts w:hint="eastAsia" w:cs="宋体"/>
                <w:color w:val="auto"/>
                <w:sz w:val="21"/>
                <w:szCs w:val="21"/>
                <w:highlight w:val="none"/>
              </w:rPr>
              <w:t>4.评审委员会基于专业判断，认为供应商报价过低，有可能影响产品质量或者不能诚信履约的其他情形。</w:t>
            </w:r>
          </w:p>
          <w:p w14:paraId="7D6C3A41">
            <w:pPr>
              <w:pStyle w:val="47"/>
              <w:keepNext w:val="0"/>
              <w:keepLines w:val="0"/>
              <w:pageBreakBefore w:val="0"/>
              <w:widowControl w:val="0"/>
              <w:kinsoku/>
              <w:wordWrap w:val="0"/>
              <w:overflowPunct/>
              <w:topLinePunct/>
              <w:autoSpaceDE/>
              <w:autoSpaceDN/>
              <w:bidi w:val="0"/>
              <w:adjustRightInd w:val="0"/>
              <w:snapToGrid w:val="0"/>
              <w:spacing w:line="360" w:lineRule="exact"/>
              <w:ind w:left="60" w:leftChars="25" w:right="24" w:rightChars="10"/>
              <w:textAlignment w:val="auto"/>
              <w:rPr>
                <w:rFonts w:hint="eastAsia" w:cs="宋体"/>
                <w:color w:val="auto"/>
                <w:sz w:val="21"/>
                <w:szCs w:val="21"/>
                <w:highlight w:val="none"/>
              </w:rPr>
            </w:pPr>
            <w:r>
              <w:rPr>
                <w:rFonts w:hint="eastAsia" w:cs="宋体"/>
                <w:color w:val="auto"/>
                <w:sz w:val="21"/>
                <w:szCs w:val="21"/>
                <w:highlight w:val="none"/>
              </w:rPr>
              <w:t>注：相关法律法规对供应商报价有规定的，从其规定。</w:t>
            </w:r>
          </w:p>
          <w:p w14:paraId="3B0A974A">
            <w:pPr>
              <w:pStyle w:val="47"/>
              <w:keepNext w:val="0"/>
              <w:keepLines w:val="0"/>
              <w:pageBreakBefore w:val="0"/>
              <w:widowControl w:val="0"/>
              <w:kinsoku/>
              <w:wordWrap w:val="0"/>
              <w:overflowPunct/>
              <w:topLinePunct/>
              <w:autoSpaceDE/>
              <w:autoSpaceDN/>
              <w:bidi w:val="0"/>
              <w:adjustRightInd w:val="0"/>
              <w:snapToGrid w:val="0"/>
              <w:spacing w:line="360" w:lineRule="exact"/>
              <w:ind w:left="60" w:leftChars="25" w:right="24" w:rightChars="10"/>
              <w:textAlignment w:val="auto"/>
              <w:rPr>
                <w:rFonts w:hint="eastAsia" w:cs="宋体"/>
                <w:color w:val="auto"/>
                <w:sz w:val="21"/>
                <w:szCs w:val="21"/>
                <w:highlight w:val="none"/>
              </w:rPr>
            </w:pPr>
            <w:r>
              <w:rPr>
                <w:rFonts w:hint="eastAsia" w:cs="宋体"/>
                <w:color w:val="auto"/>
                <w:sz w:val="21"/>
                <w:szCs w:val="21"/>
                <w:highlight w:val="none"/>
              </w:rPr>
              <w:t>二、评审委员会启动异常低价投标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审查后，属于前述第1项至第4项情形的，应当要求相关供应商在评审现场合理的时间内对投标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价格作出解释，提供项目具体成本测算等与报价合理性相关的书面说明及必要的证明材料，包括但不限于原材料成本、人工成本、制造费用等，给予相关供应商的合理时间一般不少于30分钟。其中，属于第3项情形，供应商已随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文件一并提交相关书面说明及必要的证明材料的，在评审现场可不再重复提交。供应商书面说明应当签字确认或者加盖公章，否则无效。书面说明应由其本人或法定代表人/主要负责人或者其授权代表签字确认。</w:t>
            </w:r>
          </w:p>
          <w:p w14:paraId="6FB28717">
            <w:pPr>
              <w:pStyle w:val="47"/>
              <w:keepNext w:val="0"/>
              <w:keepLines w:val="0"/>
              <w:pageBreakBefore w:val="0"/>
              <w:widowControl w:val="0"/>
              <w:kinsoku/>
              <w:wordWrap w:val="0"/>
              <w:overflowPunct/>
              <w:topLinePunct/>
              <w:autoSpaceDE/>
              <w:autoSpaceDN/>
              <w:bidi w:val="0"/>
              <w:adjustRightInd w:val="0"/>
              <w:snapToGrid w:val="0"/>
              <w:spacing w:line="360" w:lineRule="exact"/>
              <w:ind w:left="60" w:leftChars="25" w:right="24" w:rightChars="10"/>
              <w:textAlignment w:val="auto"/>
              <w:rPr>
                <w:rFonts w:hint="eastAsia" w:cs="宋体"/>
                <w:color w:val="auto"/>
                <w:sz w:val="21"/>
                <w:szCs w:val="21"/>
                <w:highlight w:val="none"/>
              </w:rPr>
            </w:pPr>
            <w:r>
              <w:rPr>
                <w:rFonts w:hint="eastAsia" w:cs="宋体"/>
                <w:color w:val="auto"/>
                <w:sz w:val="21"/>
                <w:szCs w:val="21"/>
                <w:highlight w:val="none"/>
              </w:rPr>
              <w:t>评审委员会依据专业经验，参考同类项目中标</w:t>
            </w:r>
            <w:r>
              <w:rPr>
                <w:rFonts w:hint="eastAsia" w:cs="宋体"/>
                <w:color w:val="auto"/>
                <w:sz w:val="21"/>
                <w:szCs w:val="21"/>
                <w:highlight w:val="none"/>
                <w:lang w:eastAsia="zh-CN"/>
              </w:rPr>
              <w:t>(</w:t>
            </w:r>
            <w:r>
              <w:rPr>
                <w:rFonts w:hint="eastAsia" w:cs="宋体"/>
                <w:color w:val="auto"/>
                <w:sz w:val="21"/>
                <w:szCs w:val="21"/>
                <w:highlight w:val="none"/>
              </w:rPr>
              <w:t>成交</w:t>
            </w:r>
            <w:r>
              <w:rPr>
                <w:rFonts w:hint="eastAsia" w:cs="宋体"/>
                <w:color w:val="auto"/>
                <w:sz w:val="21"/>
                <w:szCs w:val="21"/>
                <w:highlight w:val="none"/>
                <w:lang w:eastAsia="zh-CN"/>
              </w:rPr>
              <w:t>)</w:t>
            </w:r>
            <w:r>
              <w:rPr>
                <w:rFonts w:hint="eastAsia" w:cs="宋体"/>
                <w:color w:val="auto"/>
                <w:sz w:val="21"/>
                <w:szCs w:val="21"/>
                <w:highlight w:val="none"/>
              </w:rPr>
              <w:t>价格、类似产品市场价格水平、行业人工费用标准、国家有关部门指导行业协会发布的行业平均成本等情况，对报价合理性进行判断。投标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供应商不能提供书面说明、证明材料，或者提供的书面说明、证明材料不能证明其报价合理性的，评审委员会应当将其作为无效投标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处理。</w:t>
            </w:r>
          </w:p>
          <w:p w14:paraId="5251488C">
            <w:pPr>
              <w:pStyle w:val="47"/>
              <w:keepNext w:val="0"/>
              <w:keepLines w:val="0"/>
              <w:pageBreakBefore w:val="0"/>
              <w:widowControl w:val="0"/>
              <w:kinsoku/>
              <w:wordWrap w:val="0"/>
              <w:overflowPunct/>
              <w:topLinePunct/>
              <w:autoSpaceDE/>
              <w:autoSpaceDN/>
              <w:bidi w:val="0"/>
              <w:adjustRightInd w:val="0"/>
              <w:snapToGrid w:val="0"/>
              <w:spacing w:line="360" w:lineRule="exact"/>
              <w:ind w:left="60" w:leftChars="25" w:right="24" w:rightChars="10"/>
              <w:textAlignment w:val="auto"/>
              <w:rPr>
                <w:rFonts w:hint="eastAsia" w:cs="宋体"/>
                <w:color w:val="auto"/>
                <w:sz w:val="21"/>
                <w:szCs w:val="21"/>
                <w:highlight w:val="none"/>
              </w:rPr>
            </w:pPr>
            <w:r>
              <w:rPr>
                <w:rFonts w:hint="eastAsia" w:cs="宋体"/>
                <w:color w:val="auto"/>
                <w:sz w:val="21"/>
                <w:szCs w:val="21"/>
                <w:highlight w:val="none"/>
              </w:rPr>
              <w:t>评审委员会借助互联网等渠道查询相关信息的，应当严格遵守评审工作纪律，不得实施影响评审公正的行为。</w:t>
            </w:r>
          </w:p>
          <w:p w14:paraId="1676FC0D">
            <w:pPr>
              <w:pStyle w:val="4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宋体" w:hAnsi="宋体" w:eastAsia="宋体" w:cs="宋体"/>
                <w:snapToGrid w:val="0"/>
                <w:kern w:val="2"/>
                <w:sz w:val="21"/>
                <w:szCs w:val="21"/>
                <w:lang w:val="en-US" w:eastAsia="zh-CN" w:bidi="ar-SA"/>
              </w:rPr>
            </w:pPr>
            <w:r>
              <w:rPr>
                <w:rFonts w:hint="eastAsia" w:cs="宋体"/>
                <w:color w:val="auto"/>
                <w:sz w:val="21"/>
                <w:szCs w:val="21"/>
                <w:highlight w:val="none"/>
              </w:rPr>
              <w:t>异常低价投标</w:t>
            </w:r>
            <w:r>
              <w:rPr>
                <w:rFonts w:hint="eastAsia" w:cs="宋体"/>
                <w:color w:val="auto"/>
                <w:sz w:val="21"/>
                <w:szCs w:val="21"/>
                <w:highlight w:val="none"/>
                <w:lang w:eastAsia="zh-CN"/>
              </w:rPr>
              <w:t>(</w:t>
            </w:r>
            <w:r>
              <w:rPr>
                <w:rFonts w:hint="eastAsia" w:cs="宋体"/>
                <w:color w:val="auto"/>
                <w:sz w:val="21"/>
                <w:szCs w:val="21"/>
                <w:highlight w:val="none"/>
              </w:rPr>
              <w:t>响应</w:t>
            </w:r>
            <w:r>
              <w:rPr>
                <w:rFonts w:hint="eastAsia" w:cs="宋体"/>
                <w:color w:val="auto"/>
                <w:sz w:val="21"/>
                <w:szCs w:val="21"/>
                <w:highlight w:val="none"/>
                <w:lang w:eastAsia="zh-CN"/>
              </w:rPr>
              <w:t>)</w:t>
            </w:r>
            <w:r>
              <w:rPr>
                <w:rFonts w:hint="eastAsia" w:cs="宋体"/>
                <w:color w:val="auto"/>
                <w:sz w:val="21"/>
                <w:szCs w:val="21"/>
                <w:highlight w:val="none"/>
              </w:rPr>
              <w:t>审查的启动原因、审查意见和审查结果应当在评审报告中记录，并随供应商提供的相关书面说明及证明材料，以及评审委员会有关互联网浏览、查询历史一并归档</w:t>
            </w:r>
            <w:r>
              <w:rPr>
                <w:rFonts w:hint="eastAsia"/>
                <w:lang w:val="en-US" w:eastAsia="zh-CN"/>
              </w:rPr>
              <w:t>。</w:t>
            </w:r>
          </w:p>
        </w:tc>
      </w:tr>
      <w:tr w14:paraId="149C977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4174E44F">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p>
        </w:tc>
        <w:tc>
          <w:tcPr>
            <w:tcW w:w="2020" w:type="dxa"/>
            <w:vAlign w:val="center"/>
          </w:tcPr>
          <w:p w14:paraId="0178B737">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小微企业、监狱企业</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残疾人福利性单位等采购政策执行</w:t>
            </w:r>
          </w:p>
          <w:p w14:paraId="72F1A903">
            <w:pPr>
              <w:pStyle w:val="50"/>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lang w:val="en-US" w:eastAsia="zh-CN"/>
              </w:rPr>
              <w:t>(实质性要求)</w:t>
            </w:r>
          </w:p>
        </w:tc>
        <w:tc>
          <w:tcPr>
            <w:tcW w:w="7061" w:type="dxa"/>
            <w:vAlign w:val="center"/>
          </w:tcPr>
          <w:p w14:paraId="3510C550">
            <w:pPr>
              <w:pStyle w:val="47"/>
              <w:keepNext w:val="0"/>
              <w:keepLines w:val="0"/>
              <w:pageBreakBefore w:val="0"/>
              <w:widowControl w:val="0"/>
              <w:numPr>
                <w:ilvl w:val="0"/>
                <w:numId w:val="0"/>
              </w:numPr>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b/>
                <w:bCs/>
                <w:color w:val="FF0000"/>
                <w:sz w:val="21"/>
                <w:szCs w:val="21"/>
                <w:lang w:val="en-US" w:eastAsia="zh-CN"/>
              </w:rPr>
            </w:pPr>
            <w:r>
              <w:rPr>
                <w:rFonts w:hint="eastAsia" w:ascii="宋体" w:hAnsi="宋体" w:eastAsia="宋体" w:cs="宋体"/>
                <w:b w:val="0"/>
                <w:bCs w:val="0"/>
                <w:color w:val="auto"/>
                <w:sz w:val="21"/>
                <w:szCs w:val="21"/>
                <w:lang w:val="en-US" w:eastAsia="zh-CN"/>
              </w:rPr>
              <w:t>本项目为专门面向中小企业采购的项目，不再执行价格评审优惠的扶持政策</w:t>
            </w:r>
            <w:r>
              <w:rPr>
                <w:rFonts w:hint="eastAsia" w:ascii="宋体" w:hAnsi="宋体" w:eastAsia="宋体" w:cs="宋体"/>
                <w:sz w:val="21"/>
                <w:szCs w:val="21"/>
                <w:lang w:val="en-US" w:eastAsia="zh-CN"/>
              </w:rPr>
              <w:t>。</w:t>
            </w:r>
          </w:p>
        </w:tc>
      </w:tr>
      <w:tr w14:paraId="1846A7B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7E10F986">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p>
        </w:tc>
        <w:tc>
          <w:tcPr>
            <w:tcW w:w="2020" w:type="dxa"/>
            <w:vAlign w:val="center"/>
          </w:tcPr>
          <w:p w14:paraId="262B78A7">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highlight w:val="none"/>
                <w:lang w:val="en-US" w:eastAsia="zh-CN"/>
              </w:rPr>
              <w:t>节能产品、环境标志产品采购政策</w:t>
            </w:r>
          </w:p>
        </w:tc>
        <w:tc>
          <w:tcPr>
            <w:tcW w:w="7061" w:type="dxa"/>
            <w:vAlign w:val="center"/>
          </w:tcPr>
          <w:p w14:paraId="2F9439BC">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napToGrid w:val="0"/>
                <w:color w:val="auto"/>
                <w:kern w:val="2"/>
                <w:sz w:val="21"/>
                <w:szCs w:val="21"/>
                <w:lang w:val="en-US" w:eastAsia="zh-CN" w:bidi="ar-SA"/>
              </w:rPr>
            </w:pPr>
            <w:r>
              <w:rPr>
                <w:rFonts w:hint="eastAsia" w:ascii="宋体" w:hAnsi="宋体" w:eastAsia="宋体" w:cs="宋体"/>
                <w:color w:val="auto"/>
                <w:sz w:val="21"/>
                <w:szCs w:val="21"/>
                <w:highlight w:val="none"/>
                <w:lang w:val="en-US" w:eastAsia="zh-CN"/>
              </w:rPr>
              <w:t>本项目不涉及节能产品、环境标志产品，故不在采购文件中体现相关政策。</w:t>
            </w:r>
          </w:p>
        </w:tc>
      </w:tr>
      <w:tr w14:paraId="1D875D6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61ACE6AA">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p>
        </w:tc>
        <w:tc>
          <w:tcPr>
            <w:tcW w:w="2020" w:type="dxa"/>
            <w:vAlign w:val="center"/>
          </w:tcPr>
          <w:p w14:paraId="7F64A6C0">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品牌或者供应商</w:t>
            </w:r>
          </w:p>
          <w:p w14:paraId="59042FBF">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highlight w:val="none"/>
                <w:lang w:val="en-US" w:eastAsia="zh-CN" w:bidi="ar-SA"/>
              </w:rPr>
            </w:pPr>
            <w:r>
              <w:rPr>
                <w:rFonts w:hint="eastAsia" w:ascii="宋体" w:hAnsi="宋体" w:eastAsia="宋体" w:cs="宋体"/>
                <w:sz w:val="21"/>
                <w:szCs w:val="21"/>
                <w:lang w:val="en-US" w:eastAsia="zh-CN"/>
              </w:rPr>
              <w:t>(如涉及)</w:t>
            </w:r>
          </w:p>
        </w:tc>
        <w:tc>
          <w:tcPr>
            <w:tcW w:w="7061" w:type="dxa"/>
            <w:vAlign w:val="center"/>
          </w:tcPr>
          <w:p w14:paraId="2654CAC2">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color w:val="FF0000"/>
                <w:sz w:val="21"/>
                <w:szCs w:val="21"/>
                <w:highlight w:val="none"/>
                <w:lang w:val="en-US" w:eastAsia="zh-CN"/>
              </w:rPr>
            </w:pPr>
            <w:r>
              <w:rPr>
                <w:rFonts w:hint="eastAsia" w:ascii="宋体" w:hAnsi="宋体" w:eastAsia="宋体" w:cs="宋体"/>
                <w:sz w:val="21"/>
                <w:szCs w:val="21"/>
                <w:lang w:val="en-US" w:eastAsia="zh-CN"/>
              </w:rPr>
              <w:t>若采购文件涉及品牌或者供应商，其目的是为了准确清楚说明采购项目的技术标准和要求，其意思表示为“参照或相当于”</w:t>
            </w:r>
            <w:r>
              <w:rPr>
                <w:rFonts w:hint="eastAsia" w:cs="宋体"/>
                <w:sz w:val="21"/>
                <w:szCs w:val="21"/>
                <w:lang w:val="en-US" w:eastAsia="zh-CN"/>
              </w:rPr>
              <w:t>该</w:t>
            </w:r>
            <w:r>
              <w:rPr>
                <w:rFonts w:hint="eastAsia" w:ascii="宋体" w:hAnsi="宋体" w:eastAsia="宋体" w:cs="宋体"/>
                <w:sz w:val="21"/>
                <w:szCs w:val="21"/>
                <w:lang w:val="en-US" w:eastAsia="zh-CN"/>
              </w:rPr>
              <w:t>品牌或者供应商，其品牌或供应商具有可替代性。</w:t>
            </w:r>
          </w:p>
        </w:tc>
      </w:tr>
      <w:tr w14:paraId="6D8E601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293B9A4F">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p>
        </w:tc>
        <w:tc>
          <w:tcPr>
            <w:tcW w:w="2020" w:type="dxa"/>
            <w:vAlign w:val="center"/>
          </w:tcPr>
          <w:p w14:paraId="13A85B7A">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其他强制性规定</w:t>
            </w:r>
          </w:p>
          <w:p w14:paraId="235F6E3E">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w:t>
            </w:r>
            <w:r>
              <w:rPr>
                <w:rFonts w:hint="eastAsia" w:ascii="宋体" w:hAnsi="宋体" w:eastAsia="宋体" w:cs="宋体"/>
                <w:sz w:val="21"/>
                <w:szCs w:val="21"/>
                <w:highlight w:val="none"/>
                <w:lang w:val="en-US" w:eastAsia="zh-CN"/>
              </w:rPr>
              <w:t>如涉及时作为</w:t>
            </w:r>
            <w:r>
              <w:rPr>
                <w:rFonts w:hint="eastAsia" w:ascii="宋体" w:hAnsi="宋体" w:eastAsia="宋体" w:cs="宋体"/>
                <w:sz w:val="21"/>
                <w:szCs w:val="21"/>
                <w:lang w:val="en-US" w:eastAsia="zh-CN"/>
              </w:rPr>
              <w:t>实质性要求)</w:t>
            </w:r>
          </w:p>
        </w:tc>
        <w:tc>
          <w:tcPr>
            <w:tcW w:w="7061" w:type="dxa"/>
            <w:vAlign w:val="center"/>
          </w:tcPr>
          <w:p w14:paraId="30B43012">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napToGrid w:val="0"/>
                <w:kern w:val="2"/>
                <w:sz w:val="21"/>
                <w:szCs w:val="21"/>
                <w:lang w:val="en-US" w:eastAsia="zh-CN" w:bidi="ar-SA"/>
              </w:rPr>
            </w:pPr>
            <w:r>
              <w:rPr>
                <w:rFonts w:hint="eastAsia" w:ascii="宋体" w:hAnsi="宋体" w:eastAsia="宋体" w:cs="宋体"/>
                <w:sz w:val="21"/>
                <w:szCs w:val="21"/>
                <w:lang w:val="en-US" w:eastAsia="zh-CN"/>
              </w:rPr>
              <w:t>国家或行业主管部门对采购产品的技术标准、质量标准和资格资质条件等有强制性规定的，必须符合其要求。</w:t>
            </w:r>
          </w:p>
        </w:tc>
      </w:tr>
      <w:tr w14:paraId="3D1747C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41E6E5EA">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p>
        </w:tc>
        <w:tc>
          <w:tcPr>
            <w:tcW w:w="2020" w:type="dxa"/>
            <w:vAlign w:val="center"/>
          </w:tcPr>
          <w:p w14:paraId="2E0EC65A">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zh-CN"/>
              </w:rPr>
              <w:t>评</w:t>
            </w:r>
            <w:r>
              <w:rPr>
                <w:rFonts w:hint="eastAsia" w:ascii="宋体" w:hAnsi="宋体" w:eastAsia="宋体" w:cs="宋体"/>
                <w:sz w:val="21"/>
                <w:szCs w:val="21"/>
              </w:rPr>
              <w:t>审</w:t>
            </w:r>
            <w:r>
              <w:rPr>
                <w:rFonts w:hint="eastAsia" w:cs="宋体"/>
                <w:sz w:val="21"/>
                <w:szCs w:val="21"/>
                <w:lang w:val="en-US" w:eastAsia="zh-CN"/>
              </w:rPr>
              <w:t>结果</w:t>
            </w:r>
            <w:r>
              <w:rPr>
                <w:rFonts w:hint="eastAsia" w:ascii="宋体" w:hAnsi="宋体" w:eastAsia="宋体" w:cs="宋体"/>
                <w:sz w:val="21"/>
                <w:szCs w:val="21"/>
                <w:lang w:val="zh-CN"/>
              </w:rPr>
              <w:t>的公告</w:t>
            </w:r>
          </w:p>
        </w:tc>
        <w:tc>
          <w:tcPr>
            <w:tcW w:w="7061" w:type="dxa"/>
            <w:vAlign w:val="center"/>
          </w:tcPr>
          <w:p w14:paraId="44AC134D">
            <w:pPr>
              <w:pStyle w:val="47"/>
              <w:keepNext w:val="0"/>
              <w:keepLines w:val="0"/>
              <w:pageBreakBefore w:val="0"/>
              <w:widowControl w:val="0"/>
              <w:numPr>
                <w:ilvl w:val="0"/>
                <w:numId w:val="0"/>
              </w:numPr>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napToGrid w:val="0"/>
                <w:kern w:val="2"/>
                <w:sz w:val="21"/>
                <w:szCs w:val="21"/>
                <w:lang w:val="en-US" w:eastAsia="zh-CN" w:bidi="ar-SA"/>
              </w:rPr>
            </w:pPr>
            <w:r>
              <w:rPr>
                <w:rFonts w:hint="eastAsia" w:ascii="宋体" w:hAnsi="宋体" w:eastAsia="宋体" w:cs="宋体"/>
                <w:sz w:val="21"/>
                <w:szCs w:val="21"/>
                <w:lang w:val="en-US" w:eastAsia="zh-CN"/>
              </w:rPr>
              <w:t>评审结果将在“</w:t>
            </w:r>
            <w:r>
              <w:rPr>
                <w:rFonts w:hint="eastAsia" w:cs="宋体"/>
                <w:sz w:val="21"/>
                <w:szCs w:val="21"/>
                <w:lang w:val="en-US" w:eastAsia="zh-CN"/>
              </w:rPr>
              <w:t>西南石油大学采购信息网(http://cwcggl.swpu.edu.cn/index.chtml)</w:t>
            </w:r>
            <w:r>
              <w:rPr>
                <w:rFonts w:hint="eastAsia" w:ascii="宋体" w:hAnsi="宋体" w:eastAsia="宋体" w:cs="宋体"/>
                <w:sz w:val="21"/>
                <w:szCs w:val="21"/>
                <w:lang w:val="en-US" w:eastAsia="zh-CN"/>
              </w:rPr>
              <w:t>”予以公告</w:t>
            </w:r>
            <w:r>
              <w:rPr>
                <w:rFonts w:hint="eastAsia" w:cs="宋体"/>
                <w:sz w:val="21"/>
                <w:szCs w:val="21"/>
                <w:lang w:val="en-US" w:eastAsia="zh-CN"/>
              </w:rPr>
              <w:t>。</w:t>
            </w:r>
          </w:p>
        </w:tc>
      </w:tr>
      <w:tr w14:paraId="3A33DD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09ACAE12">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p>
        </w:tc>
        <w:tc>
          <w:tcPr>
            <w:tcW w:w="2020" w:type="dxa"/>
            <w:vAlign w:val="center"/>
          </w:tcPr>
          <w:p w14:paraId="6B44ED26">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成交通知书领取</w:t>
            </w:r>
          </w:p>
        </w:tc>
        <w:tc>
          <w:tcPr>
            <w:tcW w:w="7061" w:type="dxa"/>
            <w:vAlign w:val="center"/>
          </w:tcPr>
          <w:p w14:paraId="7EF5402F">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采购代理机构在成交供应商</w:t>
            </w:r>
            <w:r>
              <w:rPr>
                <w:rFonts w:hint="eastAsia" w:ascii="宋体" w:hAnsi="宋体" w:eastAsia="宋体" w:cs="宋体"/>
                <w:sz w:val="21"/>
                <w:szCs w:val="21"/>
              </w:rPr>
              <w:t>确定后2个工作日内，在“</w:t>
            </w:r>
            <w:r>
              <w:rPr>
                <w:rFonts w:hint="eastAsia" w:cs="宋体"/>
                <w:sz w:val="21"/>
                <w:szCs w:val="21"/>
                <w:lang w:val="en-US" w:eastAsia="zh-CN"/>
              </w:rPr>
              <w:t>西南石油大学采购信息网(http://cwcggl.swpu.edu.cn/index.chtml)</w:t>
            </w:r>
            <w:r>
              <w:rPr>
                <w:rFonts w:hint="eastAsia" w:ascii="宋体" w:hAnsi="宋体" w:eastAsia="宋体" w:cs="宋体"/>
                <w:sz w:val="21"/>
                <w:szCs w:val="21"/>
              </w:rPr>
              <w:t>”发布</w:t>
            </w:r>
            <w:r>
              <w:rPr>
                <w:rFonts w:hint="eastAsia" w:ascii="宋体" w:hAnsi="宋体" w:eastAsia="宋体" w:cs="宋体"/>
                <w:sz w:val="21"/>
                <w:szCs w:val="21"/>
                <w:lang w:val="en-US" w:eastAsia="zh-CN"/>
              </w:rPr>
              <w:t>成交</w:t>
            </w:r>
            <w:r>
              <w:rPr>
                <w:rFonts w:hint="eastAsia" w:ascii="宋体" w:hAnsi="宋体" w:eastAsia="宋体" w:cs="宋体"/>
                <w:sz w:val="21"/>
                <w:szCs w:val="21"/>
              </w:rPr>
              <w:t>公告，同时采购代理机构将</w:t>
            </w:r>
            <w:r>
              <w:rPr>
                <w:rFonts w:hint="eastAsia" w:ascii="宋体" w:hAnsi="宋体" w:eastAsia="宋体" w:cs="宋体"/>
                <w:sz w:val="21"/>
                <w:szCs w:val="21"/>
                <w:lang w:val="en-US" w:eastAsia="zh-CN"/>
              </w:rPr>
              <w:t>成交</w:t>
            </w:r>
            <w:r>
              <w:rPr>
                <w:rFonts w:hint="eastAsia" w:ascii="宋体" w:hAnsi="宋体" w:eastAsia="宋体" w:cs="宋体"/>
                <w:sz w:val="21"/>
                <w:szCs w:val="21"/>
              </w:rPr>
              <w:t>通知书</w:t>
            </w:r>
            <w:r>
              <w:rPr>
                <w:rFonts w:hint="eastAsia" w:cs="宋体"/>
                <w:sz w:val="21"/>
                <w:szCs w:val="21"/>
                <w:lang w:val="en-US" w:eastAsia="zh-CN"/>
              </w:rPr>
              <w:t>发</w:t>
            </w:r>
            <w:r>
              <w:rPr>
                <w:rFonts w:hint="eastAsia" w:ascii="宋体" w:hAnsi="宋体" w:eastAsia="宋体" w:cs="宋体"/>
                <w:sz w:val="21"/>
                <w:szCs w:val="21"/>
              </w:rPr>
              <w:t>至</w:t>
            </w:r>
            <w:r>
              <w:rPr>
                <w:rFonts w:hint="eastAsia" w:ascii="宋体" w:hAnsi="宋体" w:eastAsia="宋体" w:cs="宋体"/>
                <w:sz w:val="21"/>
                <w:szCs w:val="21"/>
                <w:lang w:val="en-US" w:eastAsia="zh-CN"/>
              </w:rPr>
              <w:t>成交供应商。</w:t>
            </w:r>
          </w:p>
          <w:p w14:paraId="299DBB5B">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rPr>
              <w:t>联系人：</w:t>
            </w:r>
            <w:r>
              <w:rPr>
                <w:rFonts w:hint="eastAsia" w:ascii="宋体" w:hAnsi="宋体" w:eastAsia="宋体" w:cs="宋体"/>
                <w:sz w:val="21"/>
                <w:szCs w:val="21"/>
                <w:lang w:val="zh-CN" w:eastAsia="zh-CN"/>
              </w:rPr>
              <w:t>唐雨</w:t>
            </w:r>
          </w:p>
          <w:p w14:paraId="0EB6B8F2">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zh-CN"/>
              </w:rPr>
              <w:t>联系电话：</w:t>
            </w:r>
            <w:r>
              <w:rPr>
                <w:rFonts w:hint="eastAsia" w:ascii="宋体" w:hAnsi="宋体" w:eastAsia="宋体" w:cs="宋体"/>
                <w:sz w:val="21"/>
                <w:szCs w:val="21"/>
                <w:lang w:val="en-US" w:eastAsia="zh-CN"/>
              </w:rPr>
              <w:t>028-61375575、62600820、62630990转601或602</w:t>
            </w:r>
          </w:p>
          <w:p w14:paraId="411A7D80">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zh-CN" w:eastAsia="zh-CN"/>
              </w:rPr>
              <w:t>地址：成都市高新区吉庆三路333号蜀都中心二期一号楼一单元401</w:t>
            </w:r>
            <w:r>
              <w:rPr>
                <w:rFonts w:hint="eastAsia" w:ascii="宋体" w:hAnsi="宋体" w:eastAsia="宋体" w:cs="宋体"/>
                <w:sz w:val="21"/>
                <w:szCs w:val="21"/>
                <w:lang w:val="en-US" w:eastAsia="zh-CN"/>
              </w:rPr>
              <w:t>号</w:t>
            </w:r>
          </w:p>
        </w:tc>
      </w:tr>
      <w:tr w14:paraId="532308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5C290F96">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eastAsia="zh-CN"/>
              </w:rPr>
            </w:pPr>
          </w:p>
        </w:tc>
        <w:tc>
          <w:tcPr>
            <w:tcW w:w="2020" w:type="dxa"/>
            <w:vAlign w:val="center"/>
          </w:tcPr>
          <w:p w14:paraId="62121DBC">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招标代理</w:t>
            </w:r>
            <w:r>
              <w:rPr>
                <w:rFonts w:hint="eastAsia" w:ascii="宋体" w:hAnsi="宋体" w:eastAsia="宋体" w:cs="宋体"/>
                <w:color w:val="auto"/>
                <w:sz w:val="21"/>
                <w:szCs w:val="21"/>
                <w:lang w:val="zh-CN"/>
              </w:rPr>
              <w:t>服务费</w:t>
            </w:r>
          </w:p>
        </w:tc>
        <w:tc>
          <w:tcPr>
            <w:tcW w:w="7061" w:type="dxa"/>
            <w:vAlign w:val="center"/>
          </w:tcPr>
          <w:p w14:paraId="6C2C6BB4">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1.按照</w:t>
            </w:r>
            <w:r>
              <w:rPr>
                <w:rFonts w:hint="eastAsia" w:ascii="宋体" w:hAnsi="宋体" w:eastAsia="宋体" w:cs="宋体"/>
                <w:i w:val="0"/>
                <w:caps w:val="0"/>
                <w:color w:val="auto"/>
                <w:spacing w:val="0"/>
                <w:kern w:val="0"/>
                <w:sz w:val="21"/>
                <w:szCs w:val="21"/>
                <w:highlight w:val="none"/>
                <w:u w:val="none"/>
                <w:lang w:val="en-US" w:eastAsia="zh-CN" w:bidi="ar"/>
              </w:rPr>
              <w:t>成本支出加合理利润的原则确定</w:t>
            </w:r>
            <w:r>
              <w:rPr>
                <w:rFonts w:hint="eastAsia" w:ascii="宋体" w:hAnsi="宋体" w:eastAsia="宋体" w:cs="宋体"/>
                <w:color w:val="auto"/>
                <w:sz w:val="21"/>
                <w:szCs w:val="21"/>
                <w:highlight w:val="none"/>
                <w:lang w:val="en-US" w:eastAsia="zh-CN"/>
              </w:rPr>
              <w:t>，本项目定额计取招标代理服务费</w:t>
            </w:r>
            <w:r>
              <w:rPr>
                <w:rFonts w:hint="eastAsia"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000元</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大写：</w:t>
            </w:r>
            <w:r>
              <w:rPr>
                <w:rFonts w:hint="eastAsia" w:cs="宋体"/>
                <w:color w:val="auto"/>
                <w:sz w:val="21"/>
                <w:szCs w:val="21"/>
                <w:highlight w:val="none"/>
                <w:lang w:val="en-US" w:eastAsia="zh-CN"/>
              </w:rPr>
              <w:t>人民币肆</w:t>
            </w:r>
            <w:r>
              <w:rPr>
                <w:rFonts w:hint="eastAsia" w:ascii="宋体" w:hAnsi="宋体" w:eastAsia="宋体" w:cs="宋体"/>
                <w:color w:val="auto"/>
                <w:sz w:val="21"/>
                <w:szCs w:val="21"/>
                <w:highlight w:val="none"/>
                <w:lang w:val="en-US" w:eastAsia="zh-CN"/>
              </w:rPr>
              <w:t>仟元整</w:t>
            </w:r>
            <w:r>
              <w:rPr>
                <w:rFonts w:hint="eastAsia" w:cs="宋体"/>
                <w:color w:val="auto"/>
                <w:sz w:val="21"/>
                <w:szCs w:val="21"/>
                <w:highlight w:val="none"/>
                <w:lang w:val="en-US" w:eastAsia="zh-CN"/>
              </w:rPr>
              <w:t>)</w:t>
            </w:r>
            <w:r>
              <w:rPr>
                <w:rFonts w:hint="eastAsia" w:ascii="宋体" w:hAnsi="宋体" w:eastAsia="宋体" w:cs="宋体"/>
                <w:color w:val="auto"/>
                <w:sz w:val="21"/>
                <w:szCs w:val="21"/>
                <w:highlight w:val="none"/>
                <w:lang w:val="en-US" w:eastAsia="zh-CN"/>
              </w:rPr>
              <w:t>。</w:t>
            </w:r>
          </w:p>
          <w:p w14:paraId="3775069F">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b w:val="0"/>
                <w:i w:val="0"/>
                <w:caps w:val="0"/>
                <w:color w:val="auto"/>
                <w:spacing w:val="0"/>
                <w:sz w:val="21"/>
                <w:szCs w:val="21"/>
                <w:highlight w:val="none"/>
                <w:lang w:eastAsia="zh-CN"/>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lang w:val="en-US" w:eastAsia="zh-CN"/>
              </w:rPr>
              <w:t>收取方式：成交</w:t>
            </w:r>
            <w:r>
              <w:rPr>
                <w:rFonts w:hint="eastAsia" w:ascii="宋体" w:hAnsi="宋体" w:eastAsia="宋体" w:cs="宋体"/>
                <w:color w:val="auto"/>
                <w:sz w:val="21"/>
                <w:szCs w:val="21"/>
                <w:highlight w:val="none"/>
                <w:lang w:val="zh-CN" w:eastAsia="zh-CN"/>
              </w:rPr>
              <w:t>通知发出后</w:t>
            </w:r>
            <w:r>
              <w:rPr>
                <w:rFonts w:hint="eastAsia" w:cs="宋体"/>
                <w:color w:val="auto"/>
                <w:sz w:val="21"/>
                <w:szCs w:val="21"/>
                <w:highlight w:val="none"/>
                <w:lang w:val="en-US" w:eastAsia="zh-CN"/>
              </w:rPr>
              <w:t>两</w:t>
            </w:r>
            <w:r>
              <w:rPr>
                <w:rFonts w:hint="eastAsia" w:ascii="宋体" w:hAnsi="宋体" w:eastAsia="宋体" w:cs="宋体"/>
                <w:color w:val="auto"/>
                <w:sz w:val="21"/>
                <w:szCs w:val="21"/>
                <w:highlight w:val="none"/>
                <w:lang w:val="zh-CN" w:eastAsia="zh-CN"/>
              </w:rPr>
              <w:t>个工作日内由成交</w:t>
            </w:r>
            <w:r>
              <w:rPr>
                <w:rFonts w:hint="eastAsia" w:cs="宋体"/>
                <w:color w:val="auto"/>
                <w:sz w:val="21"/>
                <w:szCs w:val="21"/>
                <w:highlight w:val="none"/>
                <w:lang w:val="en-US" w:eastAsia="zh-CN"/>
              </w:rPr>
              <w:t>人</w:t>
            </w:r>
            <w:r>
              <w:rPr>
                <w:rFonts w:hint="eastAsia" w:ascii="宋体" w:hAnsi="宋体" w:eastAsia="宋体" w:cs="宋体"/>
                <w:color w:val="auto"/>
                <w:sz w:val="21"/>
                <w:szCs w:val="21"/>
                <w:highlight w:val="none"/>
                <w:lang w:val="zh-CN" w:eastAsia="zh-CN"/>
              </w:rPr>
              <w:t>一次性支付</w:t>
            </w:r>
            <w:r>
              <w:rPr>
                <w:rFonts w:hint="eastAsia" w:ascii="宋体" w:hAnsi="宋体" w:eastAsia="宋体" w:cs="宋体"/>
                <w:color w:val="auto"/>
                <w:sz w:val="21"/>
                <w:szCs w:val="21"/>
                <w:highlight w:val="none"/>
                <w:lang w:val="en-US" w:eastAsia="zh-CN"/>
              </w:rPr>
              <w:t>至采购代理机构。</w:t>
            </w:r>
          </w:p>
          <w:p w14:paraId="63C8BD7A">
            <w:pPr>
              <w:pStyle w:val="47"/>
              <w:keepNext w:val="0"/>
              <w:keepLines w:val="0"/>
              <w:pageBreakBefore w:val="0"/>
              <w:numPr>
                <w:ilvl w:val="0"/>
                <w:numId w:val="0"/>
              </w:numPr>
              <w:kinsoku/>
              <w:wordWrap w:val="0"/>
              <w:overflowPunct/>
              <w:topLinePunct/>
              <w:autoSpaceDE/>
              <w:autoSpaceDN/>
              <w:bidi w:val="0"/>
              <w:adjustRightInd w:val="0"/>
              <w:snapToGrid w:val="0"/>
              <w:spacing w:line="320" w:lineRule="exact"/>
              <w:ind w:leftChars="10" w:right="24" w:rightChars="10"/>
              <w:textAlignment w:val="auto"/>
              <w:rPr>
                <w:rFonts w:hint="eastAsia" w:ascii="宋体" w:hAnsi="宋体" w:eastAsia="宋体" w:cs="宋体"/>
                <w:color w:val="auto"/>
                <w:sz w:val="21"/>
                <w:szCs w:val="21"/>
              </w:rPr>
            </w:pPr>
            <w:r>
              <w:rPr>
                <w:rFonts w:hint="eastAsia" w:cs="宋体"/>
                <w:color w:val="auto"/>
                <w:sz w:val="21"/>
                <w:szCs w:val="21"/>
                <w:lang w:val="en-US" w:eastAsia="zh-CN"/>
              </w:rPr>
              <w:t>3.</w:t>
            </w:r>
            <w:r>
              <w:rPr>
                <w:rFonts w:hint="eastAsia" w:ascii="宋体" w:hAnsi="宋体" w:eastAsia="宋体" w:cs="宋体"/>
                <w:color w:val="auto"/>
                <w:sz w:val="21"/>
                <w:szCs w:val="21"/>
              </w:rPr>
              <w:t>账</w:t>
            </w:r>
            <w:r>
              <w:rPr>
                <w:rFonts w:hint="eastAsia" w:cs="宋体"/>
                <w:color w:val="auto"/>
                <w:sz w:val="21"/>
                <w:szCs w:val="21"/>
                <w:lang w:val="en-US" w:eastAsia="zh-CN"/>
              </w:rPr>
              <w:t>户</w:t>
            </w:r>
            <w:r>
              <w:rPr>
                <w:rFonts w:hint="eastAsia" w:ascii="宋体" w:hAnsi="宋体" w:eastAsia="宋体" w:cs="宋体"/>
                <w:color w:val="auto"/>
                <w:sz w:val="21"/>
                <w:szCs w:val="21"/>
              </w:rPr>
              <w:t>信息</w:t>
            </w:r>
          </w:p>
          <w:p w14:paraId="31925C3A">
            <w:pPr>
              <w:pStyle w:val="47"/>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收款单位：四川乾新招投标代理有限公司</w:t>
            </w:r>
          </w:p>
          <w:p w14:paraId="41FEB77D">
            <w:pPr>
              <w:pStyle w:val="47"/>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开 户 行：招商银行成都分行天府大道支行</w:t>
            </w:r>
          </w:p>
          <w:p w14:paraId="3AB52FEA">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银行账号：1289 0768 1810 101</w:t>
            </w:r>
          </w:p>
          <w:p w14:paraId="17D9530A">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default" w:ascii="宋体" w:hAnsi="宋体" w:eastAsia="宋体" w:cs="宋体"/>
                <w:color w:val="auto"/>
                <w:sz w:val="21"/>
                <w:szCs w:val="21"/>
                <w:lang w:val="en-US" w:eastAsia="zh-CN"/>
              </w:rPr>
            </w:pPr>
            <w:r>
              <w:rPr>
                <w:b/>
                <w:bCs/>
                <w:color w:val="auto"/>
              </w:rPr>
              <w:t>特别提醒：此账号为本项目收取招标代理服务费的唯一账号，请供应商认真核对，谨防假冒，避免错误。另，</w:t>
            </w:r>
            <w:r>
              <w:rPr>
                <w:rFonts w:hint="eastAsia"/>
                <w:b/>
                <w:bCs/>
                <w:color w:val="auto"/>
                <w:lang w:val="en-US" w:eastAsia="zh-CN"/>
              </w:rPr>
              <w:t>采购代理机构</w:t>
            </w:r>
            <w:r>
              <w:rPr>
                <w:b/>
                <w:bCs/>
                <w:color w:val="auto"/>
              </w:rPr>
              <w:t>从未委托任何第三方机构或个人收取招标代理服务费。供应商未按上述要求支付招标代理服务费所造成的一切损失自行承担。</w:t>
            </w:r>
          </w:p>
        </w:tc>
      </w:tr>
      <w:tr w14:paraId="499328A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40B1739E">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p>
        </w:tc>
        <w:tc>
          <w:tcPr>
            <w:tcW w:w="2020" w:type="dxa"/>
            <w:vAlign w:val="center"/>
          </w:tcPr>
          <w:p w14:paraId="40CA4CE2">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履约保证金</w:t>
            </w:r>
          </w:p>
          <w:p w14:paraId="3F5DC247">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color w:val="auto"/>
                <w:sz w:val="21"/>
                <w:szCs w:val="21"/>
                <w:lang w:val="zh-CN" w:eastAsia="zh-CN"/>
              </w:rPr>
            </w:pPr>
            <w:r>
              <w:rPr>
                <w:rFonts w:hint="eastAsia" w:cs="宋体"/>
                <w:sz w:val="21"/>
                <w:szCs w:val="21"/>
                <w:lang w:val="en-US" w:eastAsia="zh-CN"/>
              </w:rPr>
              <w:t>(实质性要求)</w:t>
            </w:r>
          </w:p>
        </w:tc>
        <w:tc>
          <w:tcPr>
            <w:tcW w:w="7061" w:type="dxa"/>
            <w:vAlign w:val="center"/>
          </w:tcPr>
          <w:p w14:paraId="7A9FD47B">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1.金    额：合同金额5%</w:t>
            </w:r>
          </w:p>
          <w:p w14:paraId="6AF27C6C">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2.交款方式：以支票、汇票、本票或者金融机构出具的保函等非现金形式提交至采购人(包括网银转账，电汇等方式)。</w:t>
            </w:r>
          </w:p>
          <w:p w14:paraId="70FDEE96">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户名：西南石油大学</w:t>
            </w:r>
          </w:p>
          <w:p w14:paraId="4DB66759">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开户银行：中国农业银行成都新都支行</w:t>
            </w:r>
          </w:p>
          <w:p w14:paraId="421D89D5">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账号：22824101040014888</w:t>
            </w:r>
          </w:p>
          <w:p w14:paraId="34463F77">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3.交款时间：</w:t>
            </w:r>
            <w:r>
              <w:rPr>
                <w:rFonts w:hint="eastAsia" w:cs="宋体"/>
                <w:sz w:val="21"/>
                <w:szCs w:val="21"/>
                <w:lang w:val="en-US" w:eastAsia="zh-CN"/>
              </w:rPr>
              <w:t>成交</w:t>
            </w:r>
            <w:r>
              <w:rPr>
                <w:rFonts w:hint="eastAsia" w:ascii="宋体" w:hAnsi="宋体" w:eastAsia="宋体" w:cs="宋体"/>
                <w:sz w:val="21"/>
                <w:szCs w:val="21"/>
                <w:lang w:val="zh-CN"/>
              </w:rPr>
              <w:t>通知书发放后，采购合同签订前。供应商未按照采购文件的规定交纳履约保证金，且又无正当理由的，将视为放弃</w:t>
            </w:r>
            <w:r>
              <w:rPr>
                <w:rFonts w:hint="eastAsia" w:cs="宋体"/>
                <w:sz w:val="21"/>
                <w:szCs w:val="21"/>
                <w:lang w:val="en-US" w:eastAsia="zh-CN"/>
              </w:rPr>
              <w:t>成交</w:t>
            </w:r>
            <w:r>
              <w:rPr>
                <w:rFonts w:hint="eastAsia" w:ascii="宋体" w:hAnsi="宋体" w:eastAsia="宋体" w:cs="宋体"/>
                <w:sz w:val="21"/>
                <w:szCs w:val="21"/>
                <w:lang w:val="zh-CN"/>
              </w:rPr>
              <w:t>。</w:t>
            </w:r>
          </w:p>
          <w:p w14:paraId="19C0DF96">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注：</w:t>
            </w:r>
          </w:p>
          <w:p w14:paraId="2939D1FD">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保函是银行等金融机构出具的，保函必须要在中国人民银行征信系统能够进行查询，否则将取消中标资格，采购人将重新确定中标供应商，并依法追究法律责任。</w:t>
            </w:r>
          </w:p>
          <w:p w14:paraId="5EECA51B">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履约保证金退还时间及方式：履约验收合格之日起</w:t>
            </w:r>
            <w:r>
              <w:rPr>
                <w:rFonts w:hint="eastAsia" w:ascii="宋体" w:hAnsi="宋体" w:eastAsia="宋体" w:cs="宋体"/>
                <w:sz w:val="21"/>
                <w:szCs w:val="21"/>
                <w:lang w:val="zh-CN" w:eastAsia="zh-CN"/>
              </w:rPr>
              <w:t>20</w:t>
            </w:r>
            <w:r>
              <w:rPr>
                <w:rFonts w:hint="eastAsia" w:ascii="宋体" w:hAnsi="宋体" w:eastAsia="宋体" w:cs="宋体"/>
                <w:sz w:val="21"/>
                <w:szCs w:val="21"/>
                <w:lang w:val="zh-CN"/>
              </w:rPr>
              <w:t>日后，中标供应商提交相关材料之日起10个工作日内，由采购人一次性无息退还至</w:t>
            </w:r>
            <w:r>
              <w:rPr>
                <w:rFonts w:hint="eastAsia" w:cs="宋体"/>
                <w:sz w:val="21"/>
                <w:szCs w:val="21"/>
                <w:lang w:val="en-US" w:eastAsia="zh-CN"/>
              </w:rPr>
              <w:t>成交</w:t>
            </w:r>
            <w:r>
              <w:rPr>
                <w:rFonts w:hint="eastAsia" w:ascii="宋体" w:hAnsi="宋体" w:eastAsia="宋体" w:cs="宋体"/>
                <w:sz w:val="21"/>
                <w:szCs w:val="21"/>
                <w:lang w:val="zh-CN"/>
              </w:rPr>
              <w:t>供应商。</w:t>
            </w:r>
          </w:p>
          <w:p w14:paraId="277E64F6">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napToGrid w:val="0"/>
                <w:kern w:val="2"/>
                <w:sz w:val="21"/>
                <w:szCs w:val="21"/>
                <w:lang w:val="zh-CN" w:eastAsia="zh-CN" w:bidi="ar-SA"/>
              </w:rPr>
            </w:pPr>
            <w:r>
              <w:rPr>
                <w:rFonts w:hint="eastAsia" w:ascii="宋体" w:hAnsi="宋体" w:eastAsia="宋体" w:cs="宋体"/>
                <w:sz w:val="21"/>
                <w:szCs w:val="21"/>
                <w:lang w:val="zh-CN"/>
              </w:rPr>
              <w:t>4.履约保证金不予退还情形：</w:t>
            </w: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1 \* GB3 \* MERGEFORMAT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①</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中标人在履约过程中出现违约行为，采购人有权视情况扣除全部或部分履约保证金。</w:t>
            </w:r>
            <w:r>
              <w:rPr>
                <w:rFonts w:hint="eastAsia" w:ascii="宋体" w:hAnsi="宋体" w:eastAsia="宋体" w:cs="宋体"/>
                <w:sz w:val="21"/>
                <w:szCs w:val="21"/>
                <w:lang w:val="zh-CN"/>
              </w:rPr>
              <w:fldChar w:fldCharType="begin"/>
            </w:r>
            <w:r>
              <w:rPr>
                <w:rFonts w:hint="eastAsia" w:ascii="宋体" w:hAnsi="宋体" w:eastAsia="宋体" w:cs="宋体"/>
                <w:sz w:val="21"/>
                <w:szCs w:val="21"/>
                <w:lang w:val="zh-CN"/>
              </w:rPr>
              <w:instrText xml:space="preserve"> = 2 \* GB3 \* MERGEFORMAT </w:instrText>
            </w:r>
            <w:r>
              <w:rPr>
                <w:rFonts w:hint="eastAsia" w:ascii="宋体" w:hAnsi="宋体" w:eastAsia="宋体" w:cs="宋体"/>
                <w:sz w:val="21"/>
                <w:szCs w:val="21"/>
                <w:lang w:val="zh-CN"/>
              </w:rPr>
              <w:fldChar w:fldCharType="separate"/>
            </w:r>
            <w:r>
              <w:rPr>
                <w:rFonts w:hint="eastAsia" w:ascii="宋体" w:hAnsi="宋体" w:eastAsia="宋体" w:cs="宋体"/>
                <w:sz w:val="21"/>
                <w:szCs w:val="21"/>
                <w:lang w:val="zh-CN"/>
              </w:rPr>
              <w:t>②</w:t>
            </w:r>
            <w:r>
              <w:rPr>
                <w:rFonts w:hint="eastAsia" w:ascii="宋体" w:hAnsi="宋体" w:eastAsia="宋体" w:cs="宋体"/>
                <w:sz w:val="21"/>
                <w:szCs w:val="21"/>
                <w:lang w:val="zh-CN"/>
              </w:rPr>
              <w:fldChar w:fldCharType="end"/>
            </w:r>
            <w:r>
              <w:rPr>
                <w:rFonts w:hint="eastAsia" w:ascii="宋体" w:hAnsi="宋体" w:eastAsia="宋体" w:cs="宋体"/>
                <w:sz w:val="21"/>
                <w:szCs w:val="21"/>
                <w:lang w:val="zh-CN"/>
              </w:rPr>
              <w:t>中标人出现重大违约行为，采购人有权解除合同，履约保证金不予退还。③验收结果不合格的，履约保证金将不予退还。④如果中标人在规定的合同签订时间内，未按照招标文件的规定交纳履约保证金，且又无正当理由的，将视为放弃中标。⑤其他违反国家相关法律法规的情形。</w:t>
            </w:r>
          </w:p>
        </w:tc>
      </w:tr>
      <w:tr w14:paraId="038F9D5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6D2DED25">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zh-CN"/>
              </w:rPr>
            </w:pPr>
          </w:p>
        </w:tc>
        <w:tc>
          <w:tcPr>
            <w:tcW w:w="2020" w:type="dxa"/>
            <w:vAlign w:val="center"/>
          </w:tcPr>
          <w:p w14:paraId="1FC3EC0B">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rPr>
            </w:pPr>
            <w:r>
              <w:rPr>
                <w:rFonts w:hint="eastAsia" w:ascii="宋体" w:hAnsi="宋体" w:eastAsia="宋体" w:cs="宋体"/>
                <w:sz w:val="21"/>
                <w:szCs w:val="21"/>
              </w:rPr>
              <w:t>供应商询问</w:t>
            </w:r>
          </w:p>
        </w:tc>
        <w:tc>
          <w:tcPr>
            <w:tcW w:w="7061" w:type="dxa"/>
            <w:vAlign w:val="top"/>
          </w:tcPr>
          <w:p w14:paraId="20FBCA53">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rPr>
              <w:t>根据委托代理协议约定，</w:t>
            </w:r>
            <w:r>
              <w:rPr>
                <w:rFonts w:hint="eastAsia" w:ascii="宋体" w:hAnsi="宋体" w:eastAsia="宋体" w:cs="宋体"/>
                <w:sz w:val="21"/>
                <w:szCs w:val="21"/>
                <w:lang w:val="en-US" w:eastAsia="zh-CN"/>
              </w:rPr>
              <w:t>采购人</w:t>
            </w:r>
            <w:r>
              <w:rPr>
                <w:rFonts w:hint="eastAsia" w:ascii="宋体" w:hAnsi="宋体" w:eastAsia="宋体" w:cs="宋体"/>
                <w:sz w:val="21"/>
                <w:szCs w:val="21"/>
              </w:rPr>
              <w:t>负责对</w:t>
            </w:r>
            <w:r>
              <w:rPr>
                <w:rFonts w:hint="eastAsia" w:ascii="宋体" w:hAnsi="宋体" w:eastAsia="宋体" w:cs="宋体"/>
                <w:sz w:val="21"/>
                <w:szCs w:val="21"/>
                <w:lang w:eastAsia="zh-CN"/>
              </w:rPr>
              <w:t>磋商文件</w:t>
            </w:r>
            <w:r>
              <w:rPr>
                <w:rFonts w:hint="eastAsia" w:ascii="宋体" w:hAnsi="宋体" w:eastAsia="宋体" w:cs="宋体"/>
                <w:sz w:val="21"/>
                <w:szCs w:val="21"/>
              </w:rPr>
              <w:t>技术参数部分的询问答复，</w:t>
            </w:r>
            <w:r>
              <w:rPr>
                <w:rFonts w:hint="eastAsia" w:ascii="宋体" w:hAnsi="宋体" w:eastAsia="宋体" w:cs="宋体"/>
                <w:sz w:val="21"/>
                <w:szCs w:val="21"/>
                <w:lang w:val="en-US" w:eastAsia="zh-CN"/>
              </w:rPr>
              <w:t>四川乾新招投标代理有限公司</w:t>
            </w:r>
            <w:r>
              <w:rPr>
                <w:rFonts w:hint="eastAsia" w:ascii="宋体" w:hAnsi="宋体" w:eastAsia="宋体" w:cs="宋体"/>
                <w:sz w:val="21"/>
                <w:szCs w:val="21"/>
              </w:rPr>
              <w:t>负责</w:t>
            </w:r>
            <w:r>
              <w:rPr>
                <w:rFonts w:hint="eastAsia" w:ascii="宋体" w:hAnsi="宋体" w:eastAsia="宋体" w:cs="宋体"/>
                <w:sz w:val="21"/>
                <w:szCs w:val="21"/>
                <w:lang w:eastAsia="zh-CN"/>
              </w:rPr>
              <w:t>磋商文件</w:t>
            </w:r>
            <w:r>
              <w:rPr>
                <w:rFonts w:hint="eastAsia" w:ascii="宋体" w:hAnsi="宋体" w:eastAsia="宋体" w:cs="宋体"/>
                <w:sz w:val="21"/>
                <w:szCs w:val="21"/>
              </w:rPr>
              <w:t>技术参数部分以外的询问答复</w:t>
            </w:r>
            <w:r>
              <w:rPr>
                <w:rFonts w:hint="eastAsia" w:ascii="宋体" w:hAnsi="宋体" w:eastAsia="宋体" w:cs="宋体"/>
                <w:sz w:val="21"/>
                <w:szCs w:val="21"/>
                <w:lang w:eastAsia="zh-CN"/>
              </w:rPr>
              <w:t>。</w:t>
            </w:r>
          </w:p>
          <w:p w14:paraId="28F42E94">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2.询问内容不得涉及评审秘密、国家机密和商业秘密等保密内容。</w:t>
            </w:r>
          </w:p>
          <w:p w14:paraId="60FB62DF">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3.询问方式：询问人可以采用书面或口头或电子邮件等方式向四川乾新招投标代理有限公司提出；询问必须提供询问人基本信息(包含具体询问内容、询问人名称或姓名、联系人及联系电话、电子邮件)。</w:t>
            </w:r>
          </w:p>
          <w:p w14:paraId="2034090B">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default" w:ascii="宋体" w:hAnsi="宋体" w:eastAsia="宋体" w:cs="宋体"/>
                <w:color w:val="FF0000"/>
                <w:sz w:val="21"/>
                <w:szCs w:val="21"/>
                <w:highlight w:val="none"/>
                <w:lang w:val="en-US"/>
              </w:rPr>
            </w:pPr>
            <w:r>
              <w:rPr>
                <w:rFonts w:hint="eastAsia" w:ascii="宋体" w:hAnsi="宋体" w:eastAsia="宋体" w:cs="宋体"/>
                <w:sz w:val="21"/>
                <w:szCs w:val="21"/>
                <w:highlight w:val="none"/>
                <w:lang w:val="zh-CN" w:eastAsia="zh-CN"/>
              </w:rPr>
              <w:t>联系人：</w:t>
            </w:r>
            <w:r>
              <w:rPr>
                <w:rFonts w:hint="eastAsia" w:cs="宋体"/>
                <w:sz w:val="21"/>
                <w:szCs w:val="21"/>
                <w:highlight w:val="none"/>
                <w:lang w:val="en-US" w:eastAsia="zh-CN"/>
              </w:rPr>
              <w:t>陈介</w:t>
            </w:r>
          </w:p>
          <w:p w14:paraId="78C207C6">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default" w:ascii="宋体" w:hAnsi="宋体" w:eastAsia="宋体" w:cs="宋体"/>
                <w:sz w:val="21"/>
                <w:szCs w:val="21"/>
                <w:highlight w:val="yellow"/>
                <w:lang w:val="en-US" w:eastAsia="zh-CN"/>
              </w:rPr>
            </w:pPr>
            <w:r>
              <w:rPr>
                <w:rFonts w:hint="eastAsia" w:ascii="宋体" w:hAnsi="宋体" w:eastAsia="宋体" w:cs="宋体"/>
                <w:color w:val="000000" w:themeColor="text1"/>
                <w:sz w:val="21"/>
                <w:szCs w:val="21"/>
                <w:highlight w:val="none"/>
                <w:lang w:val="zh-CN" w:eastAsia="zh-CN"/>
                <w14:textFill>
                  <w14:solidFill>
                    <w14:schemeClr w14:val="tx1"/>
                  </w14:solidFill>
                </w14:textFill>
              </w:rPr>
              <w:t>联系电话：</w:t>
            </w:r>
            <w:r>
              <w:rPr>
                <w:rFonts w:hint="eastAsia" w:ascii="宋体" w:hAnsi="宋体" w:eastAsia="宋体" w:cs="宋体"/>
                <w:color w:val="000000" w:themeColor="text1"/>
                <w:sz w:val="21"/>
                <w:szCs w:val="21"/>
                <w:highlight w:val="none"/>
                <w:lang w:eastAsia="zh-CN"/>
                <w14:textFill>
                  <w14:solidFill>
                    <w14:schemeClr w14:val="tx1"/>
                  </w14:solidFill>
                </w14:textFill>
              </w:rPr>
              <w:t>0</w:t>
            </w:r>
            <w:r>
              <w:rPr>
                <w:rFonts w:hint="eastAsia" w:ascii="宋体" w:hAnsi="宋体" w:eastAsia="宋体" w:cs="宋体"/>
                <w:sz w:val="21"/>
                <w:szCs w:val="21"/>
                <w:lang w:eastAsia="zh-CN"/>
              </w:rPr>
              <w:t>28-</w:t>
            </w:r>
            <w:r>
              <w:rPr>
                <w:rFonts w:hint="eastAsia" w:ascii="宋体" w:hAnsi="宋体" w:eastAsia="宋体" w:cs="宋体"/>
                <w:sz w:val="21"/>
                <w:szCs w:val="21"/>
                <w:highlight w:val="none"/>
                <w:lang w:val="zh-CN"/>
              </w:rPr>
              <w:t>84638556、84882960</w:t>
            </w:r>
            <w:r>
              <w:rPr>
                <w:rFonts w:hint="eastAsia" w:ascii="宋体" w:hAnsi="宋体" w:eastAsia="宋体" w:cs="宋体"/>
                <w:sz w:val="21"/>
                <w:szCs w:val="21"/>
                <w:lang w:eastAsia="zh-CN"/>
              </w:rPr>
              <w:t>转</w:t>
            </w:r>
            <w:r>
              <w:rPr>
                <w:rFonts w:hint="eastAsia" w:cs="宋体"/>
                <w:sz w:val="21"/>
                <w:szCs w:val="21"/>
                <w:lang w:val="en-US" w:eastAsia="zh-CN"/>
              </w:rPr>
              <w:t>637</w:t>
            </w:r>
          </w:p>
          <w:p w14:paraId="406E43C2">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zh-CN" w:eastAsia="zh-CN"/>
              </w:rPr>
              <w:t>地址：成都市高新区吉庆三路333号蜀都中心二期一号楼一单元401号</w:t>
            </w:r>
          </w:p>
          <w:p w14:paraId="03C9766D">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zh-CN" w:eastAsia="zh-CN"/>
              </w:rPr>
              <w:t>邮编</w:t>
            </w:r>
            <w:r>
              <w:rPr>
                <w:rFonts w:hint="eastAsia" w:ascii="宋体" w:hAnsi="宋体" w:eastAsia="宋体" w:cs="宋体"/>
                <w:sz w:val="21"/>
                <w:szCs w:val="21"/>
              </w:rPr>
              <w:t>：</w:t>
            </w:r>
            <w:r>
              <w:rPr>
                <w:rFonts w:hint="eastAsia" w:ascii="宋体" w:hAnsi="宋体" w:eastAsia="宋体" w:cs="宋体"/>
                <w:sz w:val="21"/>
                <w:szCs w:val="21"/>
                <w:lang w:val="en-US" w:eastAsia="zh-CN"/>
              </w:rPr>
              <w:t>610041</w:t>
            </w:r>
          </w:p>
          <w:p w14:paraId="00B760FB">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4.询问提出的范围及主体：</w:t>
            </w:r>
            <w:r>
              <w:rPr>
                <w:rFonts w:hint="eastAsia" w:ascii="宋体" w:hAnsi="宋体" w:eastAsia="宋体" w:cs="宋体"/>
                <w:sz w:val="21"/>
                <w:szCs w:val="21"/>
              </w:rPr>
              <w:t>①</w:t>
            </w:r>
            <w:r>
              <w:rPr>
                <w:rFonts w:hint="eastAsia" w:ascii="宋体" w:hAnsi="宋体" w:eastAsia="宋体" w:cs="宋体"/>
                <w:sz w:val="21"/>
                <w:szCs w:val="21"/>
                <w:lang w:val="en-US" w:eastAsia="zh-CN"/>
              </w:rPr>
              <w:t>磋商文件及采购信息公告环节：依法获取磋商文件的潜在供应商可以对磋商文件及采购信息公告的内容向四川乾新招投标代理有限公司或采购人提出询问，仅对采购信息公告内容提出询问的，不限制询问主体。②采购过程、采购结果环节：参与采购活动的供应商可以对采购过程、采购结果相关问题向四川乾新招投标代理有限公司提出询问，未参与采购活动的供应商不得对此环节提出询问。</w:t>
            </w:r>
          </w:p>
          <w:p w14:paraId="78D262B3">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5.为提高采购效率，降低社会成本，鼓励询问主体对于不损害国家及社会利益或自身合法权益的问题或情形采用询问方式处理解决(包含但不限于文字错误、标点符号、不影响响应文件的编制的情形)。</w:t>
            </w:r>
          </w:p>
          <w:p w14:paraId="7595A102">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6.为降低时间成本，减少不必要的干扰，四川乾新招投标代理有限公司或采购人可以不接受未按照约定时间提出的询问。</w:t>
            </w:r>
          </w:p>
        </w:tc>
      </w:tr>
      <w:tr w14:paraId="3C51021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43AE6418">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en-US" w:eastAsia="zh-CN"/>
              </w:rPr>
            </w:pPr>
          </w:p>
        </w:tc>
        <w:tc>
          <w:tcPr>
            <w:tcW w:w="2020" w:type="dxa"/>
            <w:vAlign w:val="center"/>
          </w:tcPr>
          <w:p w14:paraId="718660B3">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rPr>
            </w:pPr>
            <w:r>
              <w:rPr>
                <w:rFonts w:hint="eastAsia" w:ascii="宋体" w:hAnsi="宋体" w:eastAsia="宋体" w:cs="宋体"/>
                <w:sz w:val="21"/>
                <w:szCs w:val="21"/>
              </w:rPr>
              <w:t>竞争性磋商费用</w:t>
            </w:r>
          </w:p>
          <w:p w14:paraId="218C5EA2">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default" w:ascii="宋体" w:hAnsi="宋体" w:eastAsia="宋体" w:cs="宋体"/>
                <w:sz w:val="21"/>
                <w:szCs w:val="21"/>
                <w:lang w:val="en-US" w:eastAsia="zh-CN"/>
              </w:rPr>
            </w:pPr>
            <w:r>
              <w:rPr>
                <w:rFonts w:hint="eastAsia" w:cs="宋体"/>
                <w:sz w:val="21"/>
                <w:szCs w:val="21"/>
                <w:lang w:val="en-US" w:eastAsia="zh-CN"/>
              </w:rPr>
              <w:t>(实质性要求)</w:t>
            </w:r>
          </w:p>
        </w:tc>
        <w:tc>
          <w:tcPr>
            <w:tcW w:w="7061" w:type="dxa"/>
            <w:vAlign w:val="center"/>
          </w:tcPr>
          <w:p w14:paraId="7DE5B57D">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napToGrid w:val="0"/>
                <w:kern w:val="2"/>
                <w:sz w:val="21"/>
                <w:szCs w:val="21"/>
                <w:lang w:val="en-US" w:eastAsia="zh-CN" w:bidi="ar-SA"/>
              </w:rPr>
            </w:pPr>
            <w:r>
              <w:rPr>
                <w:rFonts w:hint="eastAsia" w:ascii="宋体" w:hAnsi="宋体" w:eastAsia="宋体" w:cs="宋体"/>
                <w:sz w:val="21"/>
                <w:szCs w:val="21"/>
              </w:rPr>
              <w:t>无论竞争性磋商的结果如何，供应商自行承担所有与参加竞争性磋商有关的全部费用</w:t>
            </w:r>
            <w:r>
              <w:rPr>
                <w:rFonts w:hint="eastAsia" w:ascii="宋体" w:hAnsi="宋体" w:eastAsia="宋体" w:cs="宋体"/>
                <w:sz w:val="21"/>
                <w:szCs w:val="21"/>
                <w:lang w:eastAsia="zh-CN"/>
              </w:rPr>
              <w:t>。</w:t>
            </w:r>
          </w:p>
        </w:tc>
      </w:tr>
      <w:tr w14:paraId="7A8F78F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7372B83C">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en-US" w:eastAsia="zh-CN"/>
              </w:rPr>
            </w:pPr>
          </w:p>
        </w:tc>
        <w:tc>
          <w:tcPr>
            <w:tcW w:w="2020" w:type="dxa"/>
            <w:vAlign w:val="center"/>
          </w:tcPr>
          <w:p w14:paraId="4EC5F31D">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r>
              <w:rPr>
                <w:rFonts w:hint="eastAsia" w:ascii="宋体" w:hAnsi="宋体" w:eastAsia="宋体" w:cs="宋体"/>
                <w:sz w:val="21"/>
                <w:szCs w:val="21"/>
                <w:lang w:val="zh-CN"/>
              </w:rPr>
              <w:t>声明承诺提醒</w:t>
            </w:r>
          </w:p>
        </w:tc>
        <w:tc>
          <w:tcPr>
            <w:tcW w:w="7061" w:type="dxa"/>
            <w:vAlign w:val="center"/>
          </w:tcPr>
          <w:p w14:paraId="11F90424">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textAlignment w:val="auto"/>
              <w:rPr>
                <w:rFonts w:hint="eastAsia" w:ascii="宋体" w:hAnsi="宋体" w:eastAsia="宋体" w:cs="宋体"/>
                <w:kern w:val="2"/>
                <w:sz w:val="21"/>
                <w:szCs w:val="21"/>
                <w:lang w:val="zh-CN" w:eastAsia="zh-CN" w:bidi="ar-SA"/>
              </w:rPr>
            </w:pPr>
            <w:r>
              <w:rPr>
                <w:rFonts w:hint="eastAsia" w:ascii="宋体" w:hAnsi="宋体" w:eastAsia="宋体" w:cs="宋体"/>
                <w:sz w:val="21"/>
                <w:szCs w:val="21"/>
                <w:lang w:val="zh-CN" w:eastAsia="zh-CN"/>
              </w:rPr>
              <w:t>供应商</w:t>
            </w:r>
            <w:r>
              <w:rPr>
                <w:rFonts w:hint="eastAsia" w:ascii="宋体" w:hAnsi="宋体" w:eastAsia="宋体" w:cs="宋体"/>
                <w:sz w:val="21"/>
                <w:szCs w:val="21"/>
                <w:lang w:val="zh-CN"/>
              </w:rPr>
              <w:t>响应文件中提供的各种声明和承诺应当真实有效，无效声明和承诺、虚假声明和承诺将由供应商</w:t>
            </w:r>
            <w:r>
              <w:rPr>
                <w:rFonts w:hint="eastAsia" w:ascii="宋体" w:hAnsi="宋体" w:eastAsia="宋体" w:cs="宋体"/>
                <w:sz w:val="21"/>
                <w:szCs w:val="21"/>
                <w:lang w:val="en-US" w:eastAsia="zh-CN"/>
              </w:rPr>
              <w:t>自行</w:t>
            </w:r>
            <w:r>
              <w:rPr>
                <w:rFonts w:hint="eastAsia" w:ascii="宋体" w:hAnsi="宋体" w:eastAsia="宋体" w:cs="宋体"/>
                <w:sz w:val="21"/>
                <w:szCs w:val="21"/>
                <w:lang w:val="zh-CN"/>
              </w:rPr>
              <w:t>承担由此带来的</w:t>
            </w:r>
            <w:r>
              <w:rPr>
                <w:rFonts w:hint="eastAsia" w:ascii="宋体" w:hAnsi="宋体" w:eastAsia="宋体" w:cs="宋体"/>
                <w:sz w:val="21"/>
                <w:szCs w:val="21"/>
                <w:lang w:val="en-US" w:eastAsia="zh-CN"/>
              </w:rPr>
              <w:t>一切</w:t>
            </w:r>
            <w:r>
              <w:rPr>
                <w:rFonts w:hint="eastAsia" w:ascii="宋体" w:hAnsi="宋体" w:eastAsia="宋体" w:cs="宋体"/>
                <w:sz w:val="21"/>
                <w:szCs w:val="21"/>
                <w:lang w:val="zh-CN"/>
              </w:rPr>
              <w:t>不利后果，</w:t>
            </w:r>
            <w:r>
              <w:rPr>
                <w:rFonts w:hint="eastAsia" w:ascii="宋体" w:hAnsi="宋体" w:eastAsia="宋体" w:cs="宋体"/>
                <w:sz w:val="21"/>
                <w:szCs w:val="21"/>
                <w:lang w:val="en-US" w:eastAsia="zh-CN"/>
              </w:rPr>
              <w:t>采购代理机构</w:t>
            </w:r>
            <w:r>
              <w:rPr>
                <w:rFonts w:hint="eastAsia" w:ascii="宋体" w:hAnsi="宋体" w:eastAsia="宋体" w:cs="宋体"/>
                <w:sz w:val="21"/>
                <w:szCs w:val="21"/>
                <w:lang w:val="zh-CN"/>
              </w:rPr>
              <w:t>还将报告监管部门追究</w:t>
            </w:r>
            <w:r>
              <w:rPr>
                <w:rFonts w:hint="eastAsia" w:ascii="宋体" w:hAnsi="宋体" w:eastAsia="宋体" w:cs="宋体"/>
                <w:sz w:val="21"/>
                <w:szCs w:val="21"/>
                <w:lang w:val="en-US" w:eastAsia="zh-CN"/>
              </w:rPr>
              <w:t>其</w:t>
            </w:r>
            <w:r>
              <w:rPr>
                <w:rFonts w:hint="eastAsia" w:ascii="宋体" w:hAnsi="宋体" w:eastAsia="宋体" w:cs="宋体"/>
                <w:sz w:val="21"/>
                <w:szCs w:val="21"/>
                <w:lang w:val="zh-CN"/>
              </w:rPr>
              <w:t>法律责任。</w:t>
            </w:r>
          </w:p>
        </w:tc>
      </w:tr>
      <w:tr w14:paraId="53FB14B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23" w:hRule="atLeast"/>
          <w:jc w:val="center"/>
        </w:trPr>
        <w:tc>
          <w:tcPr>
            <w:tcW w:w="622" w:type="dxa"/>
            <w:vAlign w:val="center"/>
          </w:tcPr>
          <w:p w14:paraId="21A8DF8A">
            <w:pPr>
              <w:pStyle w:val="50"/>
              <w:keepNext w:val="0"/>
              <w:keepLines w:val="0"/>
              <w:pageBreakBefore w:val="0"/>
              <w:numPr>
                <w:ilvl w:val="0"/>
                <w:numId w:val="8"/>
              </w:numPr>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sz w:val="21"/>
                <w:szCs w:val="21"/>
                <w:lang w:val="en-US" w:eastAsia="zh-CN"/>
              </w:rPr>
            </w:pPr>
          </w:p>
        </w:tc>
        <w:tc>
          <w:tcPr>
            <w:tcW w:w="2020" w:type="dxa"/>
            <w:vAlign w:val="center"/>
          </w:tcPr>
          <w:p w14:paraId="4E50FB52">
            <w:pPr>
              <w:pStyle w:val="50"/>
              <w:keepNext w:val="0"/>
              <w:keepLines w:val="0"/>
              <w:pageBreakBefore w:val="0"/>
              <w:kinsoku/>
              <w:wordWrap w:val="0"/>
              <w:overflowPunct/>
              <w:topLinePunct/>
              <w:autoSpaceDE/>
              <w:autoSpaceDN/>
              <w:bidi w:val="0"/>
              <w:adjustRightInd w:val="0"/>
              <w:snapToGrid w:val="0"/>
              <w:spacing w:line="320" w:lineRule="exact"/>
              <w:ind w:left="24" w:leftChars="10" w:right="24" w:rightChars="10" w:firstLine="0" w:firstLineChars="0"/>
              <w:textAlignment w:val="auto"/>
              <w:rPr>
                <w:rFonts w:hint="eastAsia" w:ascii="宋体" w:hAnsi="宋体" w:eastAsia="宋体" w:cs="宋体"/>
                <w:kern w:val="2"/>
                <w:sz w:val="21"/>
                <w:szCs w:val="21"/>
                <w:lang w:val="zh-CN" w:eastAsia="zh-CN" w:bidi="ar-SA"/>
              </w:rPr>
            </w:pPr>
            <w:r>
              <w:rPr>
                <w:rFonts w:hint="eastAsia" w:ascii="宋体" w:hAnsi="宋体" w:eastAsia="宋体" w:cs="宋体"/>
                <w:sz w:val="21"/>
                <w:szCs w:val="21"/>
              </w:rPr>
              <w:t>备注</w:t>
            </w:r>
          </w:p>
        </w:tc>
        <w:tc>
          <w:tcPr>
            <w:tcW w:w="7061" w:type="dxa"/>
            <w:vAlign w:val="center"/>
          </w:tcPr>
          <w:p w14:paraId="3603997A">
            <w:pPr>
              <w:pStyle w:val="47"/>
              <w:keepNext w:val="0"/>
              <w:keepLines w:val="0"/>
              <w:pageBreakBefore w:val="0"/>
              <w:widowControl w:val="0"/>
              <w:kinsoku/>
              <w:wordWrap w:val="0"/>
              <w:overflowPunct/>
              <w:topLinePunct/>
              <w:autoSpaceDE/>
              <w:autoSpaceDN/>
              <w:bidi w:val="0"/>
              <w:adjustRightInd w:val="0"/>
              <w:snapToGrid w:val="0"/>
              <w:spacing w:line="320" w:lineRule="exact"/>
              <w:ind w:left="24" w:leftChars="10" w:right="24" w:rightChars="10" w:firstLine="0" w:firstLineChars="0"/>
              <w:jc w:val="left"/>
              <w:textAlignment w:val="auto"/>
              <w:rPr>
                <w:rFonts w:hint="eastAsia" w:ascii="宋体" w:hAnsi="宋体" w:eastAsia="宋体" w:cs="宋体"/>
                <w:snapToGrid w:val="0"/>
                <w:kern w:val="2"/>
                <w:sz w:val="21"/>
                <w:szCs w:val="21"/>
                <w:lang w:val="zh-CN" w:eastAsia="zh-CN" w:bidi="ar-SA"/>
              </w:rPr>
            </w:pPr>
            <w:r>
              <w:rPr>
                <w:rFonts w:hint="eastAsia" w:ascii="宋体" w:hAnsi="宋体" w:eastAsia="宋体" w:cs="宋体"/>
                <w:sz w:val="21"/>
                <w:szCs w:val="21"/>
                <w:lang w:val="zh-CN"/>
              </w:rPr>
              <w:t>若竞争性磋商文件中其他内容与</w:t>
            </w:r>
            <w:r>
              <w:rPr>
                <w:rFonts w:hint="eastAsia" w:ascii="宋体" w:hAnsi="宋体" w:eastAsia="宋体" w:cs="宋体"/>
                <w:sz w:val="21"/>
                <w:szCs w:val="21"/>
                <w:lang w:val="zh-CN" w:eastAsia="zh-CN"/>
              </w:rPr>
              <w:t>磋商须知前附表</w:t>
            </w:r>
            <w:r>
              <w:rPr>
                <w:rFonts w:hint="eastAsia" w:ascii="宋体" w:hAnsi="宋体" w:eastAsia="宋体" w:cs="宋体"/>
                <w:sz w:val="21"/>
                <w:szCs w:val="21"/>
                <w:lang w:val="zh-CN"/>
              </w:rPr>
              <w:t>内容不一致的，以</w:t>
            </w:r>
            <w:r>
              <w:rPr>
                <w:rFonts w:hint="eastAsia" w:ascii="宋体" w:hAnsi="宋体" w:eastAsia="宋体" w:cs="宋体"/>
                <w:sz w:val="21"/>
                <w:szCs w:val="21"/>
                <w:lang w:val="zh-CN" w:eastAsia="zh-CN"/>
              </w:rPr>
              <w:t>磋商须知前附表</w:t>
            </w:r>
            <w:r>
              <w:rPr>
                <w:rFonts w:hint="eastAsia" w:ascii="宋体" w:hAnsi="宋体" w:eastAsia="宋体" w:cs="宋体"/>
                <w:sz w:val="21"/>
                <w:szCs w:val="21"/>
                <w:lang w:val="zh-CN"/>
              </w:rPr>
              <w:t>为准。</w:t>
            </w:r>
          </w:p>
        </w:tc>
      </w:tr>
    </w:tbl>
    <w:p w14:paraId="008E2E6A">
      <w:pPr>
        <w:pStyle w:val="40"/>
        <w:keepNext w:val="0"/>
        <w:keepLines w:val="0"/>
        <w:pageBreakBefore w:val="0"/>
        <w:widowControl w:val="0"/>
        <w:kinsoku/>
        <w:wordWrap w:val="0"/>
        <w:overflowPunct/>
        <w:topLinePunct/>
        <w:autoSpaceDE/>
        <w:autoSpaceDN/>
        <w:bidi w:val="0"/>
        <w:adjustRightInd w:val="0"/>
        <w:snapToGrid w:val="0"/>
        <w:spacing w:before="157" w:beforeLines="50" w:after="157" w:afterLines="50"/>
        <w:ind w:firstLine="0" w:firstLineChars="0"/>
        <w:jc w:val="center"/>
        <w:textAlignment w:val="auto"/>
        <w:rPr>
          <w:rFonts w:hint="eastAsia" w:ascii="宋体" w:hAnsi="宋体" w:eastAsia="宋体" w:cstheme="minorBidi"/>
          <w:b/>
          <w:kern w:val="2"/>
          <w:sz w:val="36"/>
          <w:szCs w:val="36"/>
          <w:lang w:val="en-US" w:eastAsia="zh-CN" w:bidi="ar-SA"/>
        </w:rPr>
      </w:pPr>
      <w:r>
        <w:rPr>
          <w:rFonts w:hint="eastAsia"/>
        </w:rPr>
        <w:br w:type="page"/>
      </w:r>
      <w:bookmarkStart w:id="24" w:name="_Toc12566"/>
      <w:bookmarkStart w:id="25" w:name="_Toc32477"/>
      <w:bookmarkStart w:id="26" w:name="_Toc27378"/>
      <w:r>
        <w:rPr>
          <w:rFonts w:hint="eastAsia" w:ascii="宋体" w:hAnsi="宋体" w:eastAsia="宋体" w:cstheme="minorBidi"/>
          <w:b/>
          <w:kern w:val="2"/>
          <w:sz w:val="36"/>
          <w:szCs w:val="36"/>
          <w:lang w:val="en-US" w:eastAsia="zh-CN" w:bidi="ar-SA"/>
        </w:rPr>
        <w:t>总则</w:t>
      </w:r>
      <w:bookmarkEnd w:id="24"/>
      <w:bookmarkEnd w:id="25"/>
      <w:bookmarkEnd w:id="26"/>
    </w:p>
    <w:tbl>
      <w:tblPr>
        <w:tblStyle w:val="25"/>
        <w:tblW w:w="9703"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0" w:type="dxa"/>
          <w:bottom w:w="0" w:type="dxa"/>
          <w:right w:w="0" w:type="dxa"/>
        </w:tblCellMar>
      </w:tblPr>
      <w:tblGrid>
        <w:gridCol w:w="622"/>
        <w:gridCol w:w="1753"/>
        <w:gridCol w:w="7328"/>
      </w:tblGrid>
      <w:tr w14:paraId="0CD12A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tblHeader/>
          <w:jc w:val="center"/>
        </w:trPr>
        <w:tc>
          <w:tcPr>
            <w:tcW w:w="622" w:type="dxa"/>
            <w:vAlign w:val="center"/>
          </w:tcPr>
          <w:p w14:paraId="493ECC1C">
            <w:pPr>
              <w:pStyle w:val="50"/>
              <w:numPr>
                <w:ilvl w:val="0"/>
                <w:numId w:val="0"/>
              </w:numPr>
              <w:bidi w:val="0"/>
              <w:ind w:left="0" w:leftChars="0" w:firstLine="0" w:firstLineChars="0"/>
              <w:jc w:val="center"/>
              <w:rPr>
                <w:rFonts w:hint="default"/>
                <w:lang w:val="en-US" w:eastAsia="zh-CN"/>
              </w:rPr>
            </w:pPr>
            <w:r>
              <w:rPr>
                <w:rFonts w:hint="eastAsia"/>
                <w:b/>
                <w:bCs/>
                <w:lang w:val="zh-CN"/>
              </w:rPr>
              <w:t>序号</w:t>
            </w:r>
          </w:p>
        </w:tc>
        <w:tc>
          <w:tcPr>
            <w:tcW w:w="1753" w:type="dxa"/>
            <w:vAlign w:val="center"/>
          </w:tcPr>
          <w:p w14:paraId="070A5BBE">
            <w:pPr>
              <w:pStyle w:val="50"/>
              <w:bidi w:val="0"/>
              <w:ind w:firstLine="0" w:firstLineChars="0"/>
              <w:rPr>
                <w:rFonts w:hint="eastAsia"/>
                <w:lang w:val="zh-CN"/>
              </w:rPr>
            </w:pPr>
            <w:r>
              <w:rPr>
                <w:rFonts w:hint="eastAsia"/>
                <w:b/>
                <w:bCs/>
                <w:lang w:val="zh-CN"/>
              </w:rPr>
              <w:t>事项</w:t>
            </w:r>
          </w:p>
        </w:tc>
        <w:tc>
          <w:tcPr>
            <w:tcW w:w="7328" w:type="dxa"/>
            <w:vAlign w:val="center"/>
          </w:tcPr>
          <w:p w14:paraId="0F810F4E">
            <w:pPr>
              <w:pStyle w:val="50"/>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lang w:val="zh-CN"/>
              </w:rPr>
            </w:pPr>
            <w:r>
              <w:rPr>
                <w:rFonts w:hint="eastAsia"/>
                <w:b/>
                <w:bCs/>
                <w:lang w:val="zh-CN"/>
              </w:rPr>
              <w:t>说明和要求</w:t>
            </w:r>
          </w:p>
        </w:tc>
      </w:tr>
      <w:tr w14:paraId="306B6BE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01F99914">
            <w:pPr>
              <w:pStyle w:val="50"/>
              <w:numPr>
                <w:ilvl w:val="0"/>
                <w:numId w:val="0"/>
              </w:numPr>
              <w:bidi w:val="0"/>
              <w:ind w:left="0" w:leftChars="0" w:firstLine="0" w:firstLineChars="0"/>
              <w:jc w:val="center"/>
              <w:rPr>
                <w:rFonts w:hint="eastAsia" w:ascii="宋体" w:hAnsi="宋体" w:eastAsia="宋体" w:cstheme="minorBidi"/>
                <w:kern w:val="2"/>
                <w:sz w:val="21"/>
                <w:szCs w:val="24"/>
                <w:lang w:val="en-US" w:eastAsia="zh-CN" w:bidi="ar-SA"/>
              </w:rPr>
            </w:pPr>
            <w:r>
              <w:rPr>
                <w:rFonts w:hint="eastAsia"/>
                <w:lang w:val="en-US" w:eastAsia="zh-CN"/>
              </w:rPr>
              <w:t>1</w:t>
            </w:r>
          </w:p>
        </w:tc>
        <w:tc>
          <w:tcPr>
            <w:tcW w:w="1753" w:type="dxa"/>
            <w:vAlign w:val="center"/>
          </w:tcPr>
          <w:p w14:paraId="78939BEA">
            <w:pPr>
              <w:pStyle w:val="50"/>
              <w:bidi w:val="0"/>
              <w:ind w:firstLine="0" w:firstLineChars="0"/>
              <w:rPr>
                <w:rFonts w:hint="eastAsia" w:ascii="宋体" w:hAnsi="宋体" w:eastAsia="宋体" w:cstheme="minorBidi"/>
                <w:kern w:val="2"/>
                <w:sz w:val="21"/>
                <w:szCs w:val="24"/>
                <w:lang w:val="zh-CN" w:eastAsia="zh-CN" w:bidi="ar-SA"/>
              </w:rPr>
            </w:pPr>
            <w:r>
              <w:rPr>
                <w:rFonts w:hint="eastAsia"/>
                <w:lang w:val="zh-CN"/>
              </w:rPr>
              <w:t>适用范围</w:t>
            </w:r>
          </w:p>
        </w:tc>
        <w:tc>
          <w:tcPr>
            <w:tcW w:w="7328" w:type="dxa"/>
            <w:vAlign w:val="center"/>
          </w:tcPr>
          <w:p w14:paraId="7D5B1F78">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lang w:val="en-US" w:eastAsia="zh-CN"/>
              </w:rPr>
            </w:pPr>
            <w:r>
              <w:rPr>
                <w:rFonts w:hint="eastAsia"/>
                <w:lang w:val="en-US" w:eastAsia="zh-CN"/>
              </w:rPr>
              <w:t>1.</w:t>
            </w:r>
            <w:r>
              <w:rPr>
                <w:rFonts w:hint="eastAsia"/>
                <w:lang w:val="zh-CN"/>
              </w:rPr>
              <w:t>本竞争性磋商文件</w:t>
            </w:r>
            <w:r>
              <w:rPr>
                <w:rFonts w:hint="eastAsia"/>
                <w:lang w:val="zh-CN" w:eastAsia="zh-CN"/>
              </w:rPr>
              <w:t>(亦</w:t>
            </w:r>
            <w:r>
              <w:rPr>
                <w:rFonts w:hint="eastAsia"/>
                <w:lang w:val="en-US" w:eastAsia="zh-CN"/>
              </w:rPr>
              <w:t>简称“磋商文件”或“采购文件”</w:t>
            </w:r>
            <w:r>
              <w:rPr>
                <w:rFonts w:hint="eastAsia"/>
                <w:lang w:val="zh-CN" w:eastAsia="zh-CN"/>
              </w:rPr>
              <w:t>)</w:t>
            </w:r>
            <w:r>
              <w:rPr>
                <w:rFonts w:hint="eastAsia"/>
                <w:lang w:val="zh-CN"/>
              </w:rPr>
              <w:t>仅适用于</w:t>
            </w:r>
            <w:r>
              <w:rPr>
                <w:rFonts w:hint="eastAsia"/>
                <w:lang w:val="en-US" w:eastAsia="zh-CN"/>
              </w:rPr>
              <w:t>本次磋商</w:t>
            </w:r>
            <w:r>
              <w:rPr>
                <w:rFonts w:hint="eastAsia"/>
                <w:lang w:val="zh-CN"/>
              </w:rPr>
              <w:t>采购</w:t>
            </w:r>
            <w:r>
              <w:rPr>
                <w:rFonts w:hint="eastAsia"/>
                <w:lang w:val="en-US" w:eastAsia="zh-CN"/>
              </w:rPr>
              <w:t>项目。</w:t>
            </w:r>
          </w:p>
          <w:p w14:paraId="5300AC91">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lang w:val="zh-CN" w:eastAsia="zh-CN"/>
              </w:rPr>
            </w:pPr>
            <w:r>
              <w:rPr>
                <w:rFonts w:hint="eastAsia"/>
                <w:lang w:val="zh-CN" w:eastAsia="zh-CN"/>
              </w:rPr>
              <w:t>2.本</w:t>
            </w:r>
            <w:r>
              <w:rPr>
                <w:rFonts w:hint="eastAsia"/>
                <w:lang w:val="zh-CN"/>
              </w:rPr>
              <w:t>竞争性</w:t>
            </w:r>
            <w:r>
              <w:rPr>
                <w:rFonts w:hint="eastAsia"/>
                <w:lang w:val="en-US" w:eastAsia="zh-CN"/>
              </w:rPr>
              <w:t>磋商</w:t>
            </w:r>
            <w:r>
              <w:rPr>
                <w:rFonts w:hint="eastAsia"/>
                <w:lang w:val="zh-CN"/>
              </w:rPr>
              <w:t>文件</w:t>
            </w:r>
            <w:r>
              <w:rPr>
                <w:rFonts w:hint="eastAsia"/>
                <w:lang w:val="zh-CN" w:eastAsia="zh-CN"/>
              </w:rPr>
              <w:t>中的</w:t>
            </w:r>
            <w:r>
              <w:rPr>
                <w:rFonts w:hint="eastAsia"/>
                <w:lang w:val="en-US" w:eastAsia="zh-CN"/>
              </w:rPr>
              <w:t>响应文件</w:t>
            </w:r>
            <w:r>
              <w:rPr>
                <w:rFonts w:hint="eastAsia"/>
                <w:lang w:val="zh-CN" w:eastAsia="zh-CN"/>
              </w:rPr>
              <w:t>，</w:t>
            </w:r>
            <w:r>
              <w:rPr>
                <w:rFonts w:hint="eastAsia"/>
                <w:lang w:val="zh-CN"/>
              </w:rPr>
              <w:t>仅适用于</w:t>
            </w:r>
            <w:r>
              <w:rPr>
                <w:rFonts w:hint="eastAsia"/>
                <w:lang w:val="zh-CN" w:eastAsia="zh-CN"/>
              </w:rPr>
              <w:t>本</w:t>
            </w:r>
            <w:r>
              <w:rPr>
                <w:rFonts w:hint="eastAsia"/>
                <w:lang w:val="zh-CN"/>
              </w:rPr>
              <w:t>采购</w:t>
            </w:r>
            <w:r>
              <w:rPr>
                <w:rFonts w:hint="eastAsia"/>
                <w:lang w:val="zh-CN" w:eastAsia="zh-CN"/>
              </w:rPr>
              <w:t>项目。</w:t>
            </w:r>
          </w:p>
          <w:p w14:paraId="2F1A2D8D">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lang w:val="zh-CN" w:eastAsia="zh-CN"/>
              </w:rPr>
            </w:pPr>
            <w:r>
              <w:rPr>
                <w:rFonts w:hint="eastAsia"/>
                <w:lang w:val="en-US" w:eastAsia="zh-CN"/>
              </w:rPr>
              <w:t>3.</w:t>
            </w:r>
            <w:r>
              <w:rPr>
                <w:rFonts w:hint="eastAsia"/>
                <w:lang w:val="zh-CN" w:eastAsia="zh-CN"/>
              </w:rPr>
              <w:t>本</w:t>
            </w:r>
            <w:r>
              <w:rPr>
                <w:rFonts w:hint="eastAsia"/>
                <w:lang w:val="zh-CN"/>
              </w:rPr>
              <w:t>竞争性</w:t>
            </w:r>
            <w:r>
              <w:rPr>
                <w:rFonts w:hint="eastAsia"/>
                <w:lang w:val="en-US" w:eastAsia="zh-CN"/>
              </w:rPr>
              <w:t>磋商</w:t>
            </w:r>
            <w:r>
              <w:rPr>
                <w:rFonts w:hint="eastAsia"/>
                <w:lang w:val="zh-CN"/>
              </w:rPr>
              <w:t>文件</w:t>
            </w:r>
            <w:r>
              <w:rPr>
                <w:rFonts w:hint="eastAsia"/>
                <w:lang w:val="zh-CN" w:eastAsia="zh-CN"/>
              </w:rPr>
              <w:t>中的</w:t>
            </w:r>
            <w:r>
              <w:rPr>
                <w:rFonts w:hint="eastAsia"/>
                <w:lang w:val="en-US" w:eastAsia="zh-CN"/>
              </w:rPr>
              <w:t>磋商</w:t>
            </w:r>
            <w:r>
              <w:rPr>
                <w:rFonts w:hint="eastAsia"/>
                <w:lang w:val="zh-CN" w:eastAsia="zh-CN"/>
              </w:rPr>
              <w:t>小组(亦可称为“评审委员会”)，</w:t>
            </w:r>
            <w:r>
              <w:rPr>
                <w:rFonts w:hint="eastAsia"/>
                <w:lang w:val="zh-CN"/>
              </w:rPr>
              <w:t>仅适用于</w:t>
            </w:r>
            <w:r>
              <w:rPr>
                <w:rFonts w:hint="eastAsia"/>
                <w:lang w:val="zh-CN" w:eastAsia="zh-CN"/>
              </w:rPr>
              <w:t>本</w:t>
            </w:r>
            <w:r>
              <w:rPr>
                <w:rFonts w:hint="eastAsia"/>
                <w:lang w:val="zh-CN"/>
              </w:rPr>
              <w:t>采购</w:t>
            </w:r>
            <w:r>
              <w:rPr>
                <w:rFonts w:hint="eastAsia"/>
                <w:lang w:val="zh-CN" w:eastAsia="zh-CN"/>
              </w:rPr>
              <w:t>项目。</w:t>
            </w:r>
          </w:p>
          <w:p w14:paraId="7299CCD8">
            <w:pPr>
              <w:pStyle w:val="47"/>
              <w:keepNext w:val="0"/>
              <w:keepLines w:val="0"/>
              <w:pageBreakBefore w:val="0"/>
              <w:widowControl w:val="0"/>
              <w:kinsoku/>
              <w:wordWrap w:val="0"/>
              <w:overflowPunct/>
              <w:topLinePunct/>
              <w:autoSpaceDE/>
              <w:autoSpaceDN/>
              <w:bidi w:val="0"/>
              <w:adjustRightInd w:val="0"/>
              <w:snapToGrid w:val="0"/>
              <w:ind w:left="60" w:leftChars="25" w:right="60" w:rightChars="25" w:firstLine="0" w:firstLineChars="0"/>
              <w:textAlignment w:val="auto"/>
              <w:rPr>
                <w:rFonts w:hint="eastAsia" w:ascii="宋体" w:hAnsi="宋体" w:eastAsia="宋体" w:cstheme="minorBidi"/>
                <w:snapToGrid w:val="0"/>
                <w:kern w:val="2"/>
                <w:sz w:val="21"/>
                <w:szCs w:val="24"/>
                <w:lang w:val="en-US" w:eastAsia="zh-CN" w:bidi="ar-SA"/>
              </w:rPr>
            </w:pPr>
            <w:r>
              <w:rPr>
                <w:rFonts w:hint="eastAsia"/>
                <w:lang w:val="en-US" w:eastAsia="zh-CN"/>
              </w:rPr>
              <w:t>4</w:t>
            </w:r>
            <w:r>
              <w:rPr>
                <w:rFonts w:hint="eastAsia"/>
                <w:lang w:val="zh-CN" w:eastAsia="zh-CN"/>
              </w:rPr>
              <w:t>.</w:t>
            </w:r>
            <w:r>
              <w:rPr>
                <w:rFonts w:hint="eastAsia"/>
                <w:lang w:val="zh-CN"/>
              </w:rPr>
              <w:t>本</w:t>
            </w:r>
            <w:r>
              <w:rPr>
                <w:rFonts w:hint="eastAsia"/>
                <w:lang w:val="en-US" w:eastAsia="zh-CN"/>
              </w:rPr>
              <w:t>磋商</w:t>
            </w:r>
            <w:r>
              <w:rPr>
                <w:rFonts w:hint="eastAsia"/>
                <w:lang w:val="zh-CN"/>
              </w:rPr>
              <w:t>文件的解释权归采购人和采购代理机构所有</w:t>
            </w:r>
            <w:r>
              <w:rPr>
                <w:rFonts w:hint="eastAsia"/>
                <w:lang w:val="zh-CN" w:eastAsia="zh-CN"/>
              </w:rPr>
              <w:t>。</w:t>
            </w:r>
          </w:p>
        </w:tc>
      </w:tr>
      <w:tr w14:paraId="032A23D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5C055007">
            <w:pPr>
              <w:pStyle w:val="50"/>
              <w:numPr>
                <w:ilvl w:val="0"/>
                <w:numId w:val="0"/>
              </w:numPr>
              <w:bidi w:val="0"/>
              <w:ind w:leftChars="0"/>
              <w:jc w:val="center"/>
              <w:rPr>
                <w:rFonts w:hint="default" w:ascii="宋体" w:hAnsi="宋体" w:eastAsia="宋体"/>
                <w:lang w:val="en-US" w:eastAsia="zh-CN"/>
              </w:rPr>
            </w:pPr>
            <w:r>
              <w:rPr>
                <w:rFonts w:hint="eastAsia" w:ascii="宋体" w:hAnsi="宋体" w:eastAsia="宋体"/>
                <w:lang w:val="en-US" w:eastAsia="zh-CN"/>
              </w:rPr>
              <w:t>2</w:t>
            </w:r>
          </w:p>
        </w:tc>
        <w:tc>
          <w:tcPr>
            <w:tcW w:w="1753" w:type="dxa"/>
            <w:vAlign w:val="center"/>
          </w:tcPr>
          <w:p w14:paraId="7550EC30">
            <w:pPr>
              <w:pStyle w:val="50"/>
              <w:bidi w:val="0"/>
              <w:rPr>
                <w:rFonts w:hint="default" w:eastAsia="宋体"/>
                <w:lang w:val="en-US" w:eastAsia="zh-CN"/>
              </w:rPr>
            </w:pPr>
            <w:r>
              <w:rPr>
                <w:rFonts w:hint="eastAsia"/>
                <w:lang w:val="en-US" w:eastAsia="zh-CN"/>
              </w:rPr>
              <w:t>采购主体</w:t>
            </w:r>
          </w:p>
        </w:tc>
        <w:tc>
          <w:tcPr>
            <w:tcW w:w="7328" w:type="dxa"/>
            <w:vAlign w:val="center"/>
          </w:tcPr>
          <w:p w14:paraId="74F77F6C">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rPr>
              <w:t>1</w:t>
            </w:r>
            <w:r>
              <w:rPr>
                <w:rFonts w:hint="eastAsia"/>
                <w:lang w:val="en-US" w:eastAsia="zh-CN"/>
              </w:rPr>
              <w:t>.</w:t>
            </w:r>
            <w:r>
              <w:rPr>
                <w:rFonts w:hint="eastAsia"/>
              </w:rPr>
              <w:t>“采购人”系</w:t>
            </w:r>
            <w:r>
              <w:rPr>
                <w:rFonts w:hint="eastAsia"/>
                <w:lang w:val="en-US" w:eastAsia="zh-CN"/>
              </w:rPr>
              <w:t>指西南石油大学</w:t>
            </w:r>
            <w:r>
              <w:rPr>
                <w:rFonts w:hint="eastAsia"/>
              </w:rPr>
              <w:t>。</w:t>
            </w:r>
          </w:p>
          <w:p w14:paraId="14E29970">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rPr>
              <w:t>2</w:t>
            </w:r>
            <w:r>
              <w:rPr>
                <w:rFonts w:hint="eastAsia"/>
                <w:lang w:val="en-US" w:eastAsia="zh-CN"/>
              </w:rPr>
              <w:t>.</w:t>
            </w:r>
            <w:r>
              <w:rPr>
                <w:rFonts w:hint="eastAsia"/>
              </w:rPr>
              <w:t>“供应商”系指</w:t>
            </w:r>
            <w:r>
              <w:rPr>
                <w:rFonts w:hint="eastAsia"/>
                <w:lang w:val="en-US" w:eastAsia="zh-CN"/>
              </w:rPr>
              <w:t>获取</w:t>
            </w:r>
            <w:r>
              <w:rPr>
                <w:rFonts w:hint="eastAsia"/>
              </w:rPr>
              <w:t>了</w:t>
            </w:r>
            <w:r>
              <w:rPr>
                <w:rFonts w:hint="eastAsia"/>
                <w:lang w:val="en-US" w:eastAsia="zh-CN"/>
              </w:rPr>
              <w:t>竞争性磋商</w:t>
            </w:r>
            <w:r>
              <w:rPr>
                <w:rFonts w:hint="eastAsia"/>
              </w:rPr>
              <w:t>文件拟参加</w:t>
            </w:r>
            <w:r>
              <w:rPr>
                <w:rFonts w:hint="eastAsia"/>
                <w:lang w:val="en-US" w:eastAsia="zh-CN"/>
              </w:rPr>
              <w:t>磋商</w:t>
            </w:r>
            <w:r>
              <w:rPr>
                <w:rFonts w:hint="eastAsia"/>
              </w:rPr>
              <w:t>和向采购人提供</w:t>
            </w:r>
            <w:r>
              <w:rPr>
                <w:rFonts w:hint="eastAsia"/>
                <w:lang w:eastAsia="zh-CN"/>
              </w:rPr>
              <w:t>相应服务</w:t>
            </w:r>
            <w:r>
              <w:rPr>
                <w:rFonts w:hint="eastAsia"/>
              </w:rPr>
              <w:t>的法人、其他组织或者自然人。</w:t>
            </w:r>
          </w:p>
          <w:p w14:paraId="6A66DB27">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rPr>
              <w:t>3</w:t>
            </w:r>
            <w:r>
              <w:rPr>
                <w:rFonts w:hint="eastAsia"/>
                <w:lang w:val="en-US" w:eastAsia="zh-CN"/>
              </w:rPr>
              <w:t>.</w:t>
            </w:r>
            <w:r>
              <w:rPr>
                <w:rFonts w:hint="eastAsia"/>
              </w:rPr>
              <w:t>“采购代理机构”系指根据采购人的委托依法办理采购事宜的采购机构。本次竞争性磋商的采购代理机构是四川乾新招投标代理有限公司。</w:t>
            </w:r>
          </w:p>
        </w:tc>
      </w:tr>
      <w:tr w14:paraId="394FB77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28AD2C55">
            <w:pPr>
              <w:pStyle w:val="50"/>
              <w:numPr>
                <w:ilvl w:val="0"/>
                <w:numId w:val="0"/>
              </w:numPr>
              <w:bidi w:val="0"/>
              <w:ind w:leftChars="0"/>
              <w:jc w:val="center"/>
              <w:rPr>
                <w:rFonts w:hint="default" w:ascii="宋体" w:hAnsi="宋体" w:eastAsia="宋体"/>
                <w:lang w:val="en-US" w:eastAsia="zh-CN"/>
              </w:rPr>
            </w:pPr>
            <w:r>
              <w:rPr>
                <w:rFonts w:hint="eastAsia" w:ascii="宋体" w:hAnsi="宋体" w:eastAsia="宋体"/>
                <w:lang w:val="en-US" w:eastAsia="zh-CN"/>
              </w:rPr>
              <w:t>3</w:t>
            </w:r>
          </w:p>
        </w:tc>
        <w:tc>
          <w:tcPr>
            <w:tcW w:w="1753" w:type="dxa"/>
            <w:vAlign w:val="center"/>
          </w:tcPr>
          <w:p w14:paraId="3461918C">
            <w:pPr>
              <w:pStyle w:val="50"/>
              <w:bidi w:val="0"/>
              <w:rPr>
                <w:rFonts w:hint="eastAsia"/>
              </w:rPr>
            </w:pPr>
            <w:r>
              <w:rPr>
                <w:rFonts w:hint="eastAsia"/>
              </w:rPr>
              <w:t>合格供应商条件</w:t>
            </w:r>
          </w:p>
          <w:p w14:paraId="6003F896">
            <w:pPr>
              <w:pStyle w:val="50"/>
              <w:bidi w:val="0"/>
              <w:rPr>
                <w:rFonts w:hint="eastAsia"/>
              </w:rPr>
            </w:pPr>
            <w:r>
              <w:rPr>
                <w:rFonts w:hint="eastAsia"/>
                <w:lang w:eastAsia="zh-CN"/>
              </w:rPr>
              <w:t>(</w:t>
            </w:r>
            <w:r>
              <w:rPr>
                <w:rFonts w:hint="eastAsia"/>
                <w:lang w:val="en-US" w:eastAsia="zh-CN"/>
              </w:rPr>
              <w:t>实质性要求</w:t>
            </w:r>
            <w:r>
              <w:rPr>
                <w:rFonts w:hint="eastAsia"/>
                <w:lang w:eastAsia="zh-CN"/>
              </w:rPr>
              <w:t>)</w:t>
            </w:r>
          </w:p>
        </w:tc>
        <w:tc>
          <w:tcPr>
            <w:tcW w:w="7328" w:type="dxa"/>
            <w:vAlign w:val="center"/>
          </w:tcPr>
          <w:p w14:paraId="4BFD0FB8">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rPr>
              <w:t>1</w:t>
            </w:r>
            <w:r>
              <w:rPr>
                <w:rFonts w:hint="eastAsia"/>
                <w:lang w:val="en-US" w:eastAsia="zh-CN"/>
              </w:rPr>
              <w:t>.不属于禁止参加本项目采购活动的供应商</w:t>
            </w:r>
            <w:r>
              <w:rPr>
                <w:rFonts w:hint="eastAsia"/>
              </w:rPr>
              <w:t>。</w:t>
            </w:r>
          </w:p>
          <w:p w14:paraId="02EF6CF6">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2.</w:t>
            </w:r>
            <w:r>
              <w:rPr>
                <w:rFonts w:hint="eastAsia"/>
              </w:rPr>
              <w:t>遵守国家有关的法律、法规、规章和其他政策制度</w:t>
            </w:r>
            <w:r>
              <w:rPr>
                <w:rFonts w:hint="eastAsia"/>
                <w:lang w:eastAsia="zh-CN"/>
              </w:rPr>
              <w:t>。</w:t>
            </w:r>
          </w:p>
          <w:p w14:paraId="31659BC8">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3.依法通过</w:t>
            </w:r>
            <w:r>
              <w:rPr>
                <w:rFonts w:hint="eastAsia" w:cs="宋体"/>
                <w:color w:val="auto"/>
                <w:highlight w:val="none"/>
                <w:lang w:val="en-US" w:eastAsia="zh-CN"/>
              </w:rPr>
              <w:t>采购代理机构</w:t>
            </w:r>
            <w:r>
              <w:rPr>
                <w:rFonts w:hint="eastAsia"/>
                <w:lang w:val="en-US" w:eastAsia="zh-CN"/>
              </w:rPr>
              <w:t>获取了</w:t>
            </w:r>
            <w:r>
              <w:rPr>
                <w:rFonts w:hint="eastAsia"/>
                <w:lang w:eastAsia="zh-CN"/>
              </w:rPr>
              <w:t>磋商文件</w:t>
            </w:r>
            <w:r>
              <w:rPr>
                <w:rFonts w:hint="eastAsia"/>
                <w:lang w:val="en-US" w:eastAsia="zh-CN"/>
              </w:rPr>
              <w:t>并完成报名登记</w:t>
            </w:r>
            <w:r>
              <w:rPr>
                <w:rFonts w:hint="eastAsia"/>
              </w:rPr>
              <w:t>。</w:t>
            </w:r>
          </w:p>
        </w:tc>
      </w:tr>
      <w:tr w14:paraId="7BE8E1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1A511C77">
            <w:pPr>
              <w:pStyle w:val="50"/>
              <w:numPr>
                <w:ilvl w:val="0"/>
                <w:numId w:val="0"/>
              </w:numPr>
              <w:bidi w:val="0"/>
              <w:ind w:leftChars="0"/>
              <w:jc w:val="center"/>
              <w:rPr>
                <w:rFonts w:hint="default" w:ascii="宋体" w:hAnsi="宋体" w:eastAsia="宋体"/>
                <w:lang w:val="en-US" w:eastAsia="zh-CN"/>
              </w:rPr>
            </w:pPr>
            <w:r>
              <w:rPr>
                <w:rFonts w:hint="eastAsia" w:ascii="宋体" w:hAnsi="宋体" w:eastAsia="宋体"/>
                <w:lang w:val="en-US" w:eastAsia="zh-CN"/>
              </w:rPr>
              <w:t>4</w:t>
            </w:r>
          </w:p>
        </w:tc>
        <w:tc>
          <w:tcPr>
            <w:tcW w:w="1753" w:type="dxa"/>
            <w:vAlign w:val="center"/>
          </w:tcPr>
          <w:p w14:paraId="3943D02C">
            <w:pPr>
              <w:pStyle w:val="50"/>
              <w:bidi w:val="0"/>
              <w:rPr>
                <w:rFonts w:hint="eastAsia"/>
              </w:rPr>
            </w:pPr>
            <w:r>
              <w:rPr>
                <w:rFonts w:hint="eastAsia"/>
              </w:rPr>
              <w:t>充分、公平竞争保障措施</w:t>
            </w:r>
          </w:p>
          <w:p w14:paraId="737F8EA4">
            <w:pPr>
              <w:pStyle w:val="50"/>
              <w:bidi w:val="0"/>
              <w:rPr>
                <w:rFonts w:hint="eastAsia"/>
              </w:rPr>
            </w:pPr>
            <w:r>
              <w:rPr>
                <w:rFonts w:hint="eastAsia"/>
              </w:rPr>
              <w:t>(实质性要求)</w:t>
            </w:r>
          </w:p>
        </w:tc>
        <w:tc>
          <w:tcPr>
            <w:tcW w:w="7328" w:type="dxa"/>
            <w:vAlign w:val="center"/>
          </w:tcPr>
          <w:p w14:paraId="23D141D4">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lang w:eastAsia="zh-CN"/>
              </w:rPr>
            </w:pPr>
            <w:r>
              <w:rPr>
                <w:rFonts w:hint="eastAsia"/>
              </w:rPr>
              <w:t>1</w:t>
            </w:r>
            <w:r>
              <w:rPr>
                <w:rFonts w:hint="eastAsia"/>
                <w:lang w:eastAsia="zh-CN"/>
              </w:rPr>
              <w:t>.采购代理机构将通过“信用中国”网站(www.creditchina.gov.cn)、“中国政府采购网”网站(www.ccgp.gov.cn)等渠道查询供应商的信用记录并保存信用记录结果网页截图，拒绝列入失信被执行人名单、重大税收违法案件当事人名单</w:t>
            </w:r>
            <w:r>
              <w:rPr>
                <w:rFonts w:hint="eastAsia"/>
                <w:lang w:val="en-US" w:eastAsia="zh-CN"/>
              </w:rPr>
              <w:t>(重大税收违法失信主体)</w:t>
            </w:r>
            <w:r>
              <w:rPr>
                <w:rFonts w:hint="eastAsia"/>
                <w:lang w:eastAsia="zh-CN"/>
              </w:rPr>
              <w:t>、政府采购严重违法失信行为记录名单中的供应商参加本项目的采购活动。</w:t>
            </w:r>
          </w:p>
          <w:p w14:paraId="388C634E">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2.</w:t>
            </w:r>
            <w:r>
              <w:rPr>
                <w:rFonts w:hint="eastAsia"/>
              </w:rPr>
              <w:t>利害关系供应商处理。单位负责人为同一人或者存在直接控股、管理关系的不同供应商不得参加同一合同项下的采购活动。</w:t>
            </w:r>
          </w:p>
          <w:p w14:paraId="5A145DB2">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color w:val="auto"/>
              </w:rPr>
            </w:pPr>
            <w:r>
              <w:rPr>
                <w:rFonts w:hint="eastAsia"/>
                <w:lang w:val="en-US" w:eastAsia="zh-CN"/>
              </w:rPr>
              <w:t>3</w:t>
            </w:r>
            <w:r>
              <w:rPr>
                <w:rFonts w:hint="eastAsia"/>
                <w:lang w:eastAsia="zh-CN"/>
              </w:rPr>
              <w:t>.</w:t>
            </w:r>
            <w:r>
              <w:rPr>
                <w:rFonts w:hint="eastAsia"/>
              </w:rPr>
              <w:t>前期参与供应商处理。为采购项目提供整体设计、规范编制或者项目管理、监理、检测等服务的供应商，不得再参加该采购项目的其他采购活动。供应商为采购人、采购代理机构在确定采购需求、编制</w:t>
            </w:r>
            <w:r>
              <w:rPr>
                <w:rFonts w:hint="eastAsia"/>
                <w:lang w:val="en-US" w:eastAsia="zh-CN"/>
              </w:rPr>
              <w:t>磋商</w:t>
            </w:r>
            <w:r>
              <w:rPr>
                <w:rFonts w:hint="eastAsia"/>
                <w:lang w:eastAsia="zh-CN"/>
              </w:rPr>
              <w:t>文件</w:t>
            </w:r>
            <w:r>
              <w:rPr>
                <w:rFonts w:hint="eastAsia"/>
              </w:rPr>
              <w:t>过程中提供咨询论证，其提供的咨询论证意见成为</w:t>
            </w:r>
            <w:r>
              <w:rPr>
                <w:rFonts w:hint="eastAsia"/>
                <w:lang w:val="en-US" w:eastAsia="zh-CN"/>
              </w:rPr>
              <w:t>磋商</w:t>
            </w:r>
            <w:r>
              <w:rPr>
                <w:rFonts w:hint="eastAsia"/>
                <w:lang w:eastAsia="zh-CN"/>
              </w:rPr>
              <w:t>文件</w:t>
            </w:r>
            <w:r>
              <w:rPr>
                <w:rFonts w:hint="eastAsia"/>
              </w:rPr>
              <w:t>中规定的供应商资格条件、技术服务商务要求、</w:t>
            </w:r>
            <w:r>
              <w:rPr>
                <w:rFonts w:hint="eastAsia"/>
                <w:lang w:val="en-US" w:eastAsia="zh-CN"/>
              </w:rPr>
              <w:t>评审</w:t>
            </w:r>
            <w:r>
              <w:rPr>
                <w:rFonts w:hint="eastAsia"/>
              </w:rPr>
              <w:t>因素和标准、采购合同等实质性内容条款的，视同为采购项目提供</w:t>
            </w:r>
            <w:r>
              <w:rPr>
                <w:rFonts w:hint="eastAsia"/>
                <w:color w:val="auto"/>
              </w:rPr>
              <w:t>规范编制。</w:t>
            </w:r>
          </w:p>
          <w:p w14:paraId="6EAC5C19">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default" w:eastAsia="宋体"/>
                <w:color w:val="auto"/>
                <w:highlight w:val="yellow"/>
                <w:lang w:val="en-US" w:eastAsia="zh-CN"/>
              </w:rPr>
            </w:pPr>
            <w:r>
              <w:rPr>
                <w:rFonts w:hint="eastAsia"/>
                <w:b/>
                <w:bCs/>
                <w:color w:val="auto"/>
                <w:highlight w:val="none"/>
                <w:lang w:val="en-US" w:eastAsia="zh-CN"/>
              </w:rPr>
              <w:t>注：</w:t>
            </w:r>
            <w:r>
              <w:rPr>
                <w:rFonts w:hint="eastAsia"/>
                <w:b/>
                <w:bCs/>
                <w:color w:val="auto"/>
                <w:highlight w:val="none"/>
              </w:rPr>
              <w:t>本项目符合本条规定的供应商</w:t>
            </w:r>
            <w:r>
              <w:rPr>
                <w:rFonts w:hint="eastAsia"/>
                <w:b/>
                <w:bCs/>
                <w:color w:val="auto"/>
                <w:highlight w:val="none"/>
                <w:lang w:val="en-US" w:eastAsia="zh-CN"/>
              </w:rPr>
              <w:t>为：重庆剑谊咨询有限公司成都分公司(可研)、成都市新都城建勘察测绘有限公司(地勘)、浙江恒欣设计集团股份有限公司(设计)、四川合俊昇科技有限公司(选址)、四川恒平社会风险评估咨询有限公司(稳评)、四川省宏博安全科技有限责任公司(安评)、成都市文物考古队(文勘)、开元数智工程咨询集团有限公司(造价)、成都建工第一建筑工程有限公司(施工)、四川梦园建筑装饰工程有限责任公司(施工)、四川蓉科强工程管理咨询有限责任公司(监理)、中佳信建设管理集团有限公司(审核)</w:t>
            </w:r>
            <w:r>
              <w:rPr>
                <w:rFonts w:hint="eastAsia"/>
                <w:b/>
                <w:bCs/>
                <w:color w:val="auto"/>
                <w:highlight w:val="none"/>
              </w:rPr>
              <w:t>。</w:t>
            </w:r>
          </w:p>
          <w:p w14:paraId="2D2F7CFF">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4</w:t>
            </w:r>
            <w:r>
              <w:rPr>
                <w:rFonts w:hint="eastAsia"/>
                <w:lang w:eastAsia="zh-CN"/>
              </w:rPr>
              <w:t>.</w:t>
            </w:r>
            <w:r>
              <w:rPr>
                <w:rFonts w:hint="eastAsia"/>
              </w:rPr>
              <w:t>利害关系代理人处理。2家以上的供应商不得在同一合同项下的采购项目中，同时委托同一个自然人、同一家庭的人员、同一单位的人员作为其代理人，否则，其响应文件作为无效处理。</w:t>
            </w:r>
          </w:p>
          <w:p w14:paraId="2C968B2A">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lang w:eastAsia="zh-CN"/>
              </w:rPr>
            </w:pPr>
            <w:r>
              <w:rPr>
                <w:rFonts w:hint="eastAsia"/>
                <w:lang w:val="en-US" w:eastAsia="zh-CN"/>
              </w:rPr>
              <w:t>5.供应商实际控制人或者中高级管理人员，同时是采购代理机构工作人员，不得参与本项目采购活动。</w:t>
            </w:r>
          </w:p>
          <w:p w14:paraId="1053287C">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lang w:eastAsia="zh-CN"/>
              </w:rPr>
            </w:pPr>
            <w:r>
              <w:rPr>
                <w:rFonts w:hint="eastAsia"/>
                <w:lang w:val="en-US" w:eastAsia="zh-CN"/>
              </w:rPr>
              <w:t>6.供</w:t>
            </w:r>
            <w:r>
              <w:rPr>
                <w:rFonts w:hint="eastAsia"/>
              </w:rPr>
              <w:t>应商与采购代理机构存在关联关系，或者是采购代理机构的母公司或子公司，不得参加本项目采购活动</w:t>
            </w:r>
            <w:r>
              <w:rPr>
                <w:rFonts w:hint="eastAsia"/>
                <w:lang w:eastAsia="zh-CN"/>
              </w:rPr>
              <w:t>。</w:t>
            </w:r>
          </w:p>
          <w:p w14:paraId="3219022B">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7.</w:t>
            </w:r>
            <w:r>
              <w:rPr>
                <w:rFonts w:hint="eastAsia"/>
              </w:rPr>
              <w:t>回避。采购活动中，采购人员及相关人员与供应商有下列利害关系之一的，应当回避：</w:t>
            </w:r>
          </w:p>
          <w:p w14:paraId="716A7C15">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(1)</w:t>
            </w:r>
            <w:r>
              <w:rPr>
                <w:rFonts w:hint="eastAsia"/>
              </w:rPr>
              <w:t>参加采购活动前3年内与供应商存在劳动关系；</w:t>
            </w:r>
          </w:p>
          <w:p w14:paraId="0EA7CF1C">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(2)</w:t>
            </w:r>
            <w:r>
              <w:rPr>
                <w:rFonts w:hint="eastAsia"/>
              </w:rPr>
              <w:t>参加采购活动前3年内担任供应商的董事、监事；</w:t>
            </w:r>
          </w:p>
          <w:p w14:paraId="47DF993D">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(3)</w:t>
            </w:r>
            <w:r>
              <w:rPr>
                <w:rFonts w:hint="eastAsia"/>
              </w:rPr>
              <w:t>参加采购活动前3年内是供应商的控股股东或者实际控制人；</w:t>
            </w:r>
          </w:p>
          <w:p w14:paraId="4BF4AFD9">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(4)</w:t>
            </w:r>
            <w:r>
              <w:rPr>
                <w:rFonts w:hint="eastAsia"/>
              </w:rPr>
              <w:t>与供应商的法定代表人或者负责人有夫妻、直系血亲、三代以内旁系血亲或者近姻亲关系；</w:t>
            </w:r>
          </w:p>
          <w:p w14:paraId="7BF25DF0">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(5)</w:t>
            </w:r>
            <w:r>
              <w:rPr>
                <w:rFonts w:hint="eastAsia"/>
              </w:rPr>
              <w:t>与供应商有其他可能影响采购活动公平、公正进行的关系。</w:t>
            </w:r>
          </w:p>
          <w:p w14:paraId="567ACC9A">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rPr>
              <w:t>本项目采购活动中需要依法回避的采购人员是指采购人内部负责采购项目的具体经办工作人员和直接分管采购项目的负责人，以及采购代理机构负责采购项目的具体经办工作人员和直接分管采购活动的负责人。本项目采购活动中需要依法回避的相关人员是指</w:t>
            </w:r>
            <w:r>
              <w:rPr>
                <w:rFonts w:hint="eastAsia"/>
                <w:lang w:val="en-US" w:eastAsia="zh-CN"/>
              </w:rPr>
              <w:t>磋商</w:t>
            </w:r>
            <w:r>
              <w:rPr>
                <w:rFonts w:hint="eastAsia"/>
              </w:rPr>
              <w:t>小组成员。</w:t>
            </w:r>
          </w:p>
          <w:p w14:paraId="7D6E380F">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rPr>
              <w:t>供应商认为采购人员及相关人员与其他供应商有利害关系的，可以向采购代理机构书面提出回避申请，并说明理由。采购代理机构将及时询问被申请回避人员，有利害关系的被申请回避人员应当回避。</w:t>
            </w:r>
          </w:p>
          <w:p w14:paraId="6B5718A4">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eastAsia="宋体"/>
                <w:lang w:val="en-US" w:eastAsia="zh-CN"/>
              </w:rPr>
            </w:pPr>
            <w:r>
              <w:rPr>
                <w:rFonts w:hint="eastAsia"/>
                <w:color w:val="000000" w:themeColor="text1"/>
                <w:highlight w:val="none"/>
                <w:lang w:val="en-US" w:eastAsia="zh-CN"/>
                <w14:textFill>
                  <w14:solidFill>
                    <w14:schemeClr w14:val="tx1"/>
                  </w14:solidFill>
                </w14:textFill>
              </w:rPr>
              <w:t>注：按照相关法律法规规定，负责人是指单位法定代表人或者法律、行政法规规定代表单位行使职权的主要负责人。控股是指出资额占有限责任公司资本总额百分之五十以上或者其持有的股份占股份有限公司股本总额百分之五十以上的，以及出资额或者持有股份的比例虽然不足百分之五十，但依其出资额或者持有的股份所享有的表决权已足以对股东会、股东大会的决议产生重大影响。管理关系是指与不具有出资持股关系的单位之间存在的其他管理与被管理关系。</w:t>
            </w:r>
          </w:p>
        </w:tc>
      </w:tr>
      <w:tr w14:paraId="5843287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65C162F5">
            <w:pPr>
              <w:pStyle w:val="50"/>
              <w:numPr>
                <w:ilvl w:val="0"/>
                <w:numId w:val="0"/>
              </w:numPr>
              <w:bidi w:val="0"/>
              <w:ind w:leftChars="0"/>
              <w:jc w:val="center"/>
              <w:rPr>
                <w:rFonts w:hint="default" w:ascii="宋体" w:hAnsi="宋体" w:eastAsia="宋体"/>
                <w:lang w:val="en-US" w:eastAsia="zh-CN"/>
              </w:rPr>
            </w:pPr>
            <w:r>
              <w:rPr>
                <w:rFonts w:hint="eastAsia" w:ascii="宋体" w:hAnsi="宋体" w:eastAsia="宋体"/>
                <w:lang w:val="en-US" w:eastAsia="zh-CN"/>
              </w:rPr>
              <w:t>5</w:t>
            </w:r>
          </w:p>
        </w:tc>
        <w:tc>
          <w:tcPr>
            <w:tcW w:w="1753" w:type="dxa"/>
            <w:vAlign w:val="center"/>
          </w:tcPr>
          <w:p w14:paraId="14F774DF">
            <w:pPr>
              <w:pStyle w:val="50"/>
              <w:bidi w:val="0"/>
              <w:rPr>
                <w:rFonts w:hint="eastAsia"/>
              </w:rPr>
            </w:pPr>
            <w:r>
              <w:rPr>
                <w:rFonts w:hint="eastAsia"/>
              </w:rPr>
              <w:t>磋商有效期</w:t>
            </w:r>
          </w:p>
          <w:p w14:paraId="28ED627D">
            <w:pPr>
              <w:pStyle w:val="50"/>
              <w:bidi w:val="0"/>
              <w:rPr>
                <w:rFonts w:hint="eastAsia"/>
              </w:rPr>
            </w:pPr>
            <w:r>
              <w:rPr>
                <w:rFonts w:hint="eastAsia"/>
              </w:rPr>
              <w:t>(实质性要求)</w:t>
            </w:r>
          </w:p>
        </w:tc>
        <w:tc>
          <w:tcPr>
            <w:tcW w:w="7328" w:type="dxa"/>
            <w:vAlign w:val="center"/>
          </w:tcPr>
          <w:p w14:paraId="202327FD">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1.</w:t>
            </w:r>
            <w:r>
              <w:rPr>
                <w:rFonts w:hint="eastAsia"/>
              </w:rPr>
              <w:t>磋商有效期为响应文件递交截止时间之日起90日。供应商响应文件中必须载明磋商有效期，响应文件中载明的磋商有效期可以长于磋商文件规定的期限，但不得短于磋商文件规定的期限。否则，其响应文件将作为无效响应处理。</w:t>
            </w:r>
          </w:p>
          <w:p w14:paraId="7CDDFCAB">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2.</w:t>
            </w:r>
            <w:r>
              <w:rPr>
                <w:rFonts w:hint="eastAsia"/>
              </w:rPr>
              <w:t>因不可抗力事件，采购人可于磋商有效期届满之前与供应商协商延长磋商有效期。供应商拒绝延长磋商有效期的，不得再参与该项目后续采购活动，但由此给供应商造成的损失，采购人可以自主决定是否可以给予适当补偿。供应商同意延长磋商有效期的，不能修改响应文件。</w:t>
            </w:r>
          </w:p>
          <w:p w14:paraId="6F091135">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3.</w:t>
            </w:r>
            <w:r>
              <w:rPr>
                <w:rFonts w:hint="eastAsia"/>
              </w:rPr>
              <w:t>因采购人采购需求作出必要调整，采购人可于磋商有效期届满之前与供应商协商延长磋商有效期。供应商拒绝延长磋商有效期的，不得再参与该项目后续采购活动，但由此给供应商造成的损失，采购人可以自主决定是否可以给予适当补偿。供应商同意延长磋商有效期的，不能修改响应文件。</w:t>
            </w:r>
          </w:p>
        </w:tc>
      </w:tr>
      <w:tr w14:paraId="1C83C38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0" w:hRule="atLeast"/>
          <w:jc w:val="center"/>
        </w:trPr>
        <w:tc>
          <w:tcPr>
            <w:tcW w:w="622" w:type="dxa"/>
            <w:vAlign w:val="center"/>
          </w:tcPr>
          <w:p w14:paraId="4D69E401">
            <w:pPr>
              <w:pStyle w:val="50"/>
              <w:numPr>
                <w:ilvl w:val="0"/>
                <w:numId w:val="0"/>
              </w:numPr>
              <w:bidi w:val="0"/>
              <w:ind w:leftChars="0"/>
              <w:jc w:val="center"/>
              <w:rPr>
                <w:rFonts w:hint="default" w:ascii="宋体" w:hAnsi="宋体" w:eastAsia="宋体"/>
                <w:lang w:val="en-US" w:eastAsia="zh-CN"/>
              </w:rPr>
            </w:pPr>
            <w:r>
              <w:rPr>
                <w:rFonts w:hint="eastAsia"/>
                <w:lang w:val="en-US" w:eastAsia="zh-CN"/>
              </w:rPr>
              <w:t>6</w:t>
            </w:r>
          </w:p>
        </w:tc>
        <w:tc>
          <w:tcPr>
            <w:tcW w:w="1753" w:type="dxa"/>
            <w:vAlign w:val="center"/>
          </w:tcPr>
          <w:p w14:paraId="32717792">
            <w:pPr>
              <w:pStyle w:val="50"/>
              <w:bidi w:val="0"/>
              <w:rPr>
                <w:rFonts w:hint="eastAsia" w:eastAsia="宋体"/>
                <w:lang w:val="en-US" w:eastAsia="zh-CN"/>
              </w:rPr>
            </w:pPr>
            <w:r>
              <w:rPr>
                <w:rFonts w:hint="eastAsia"/>
                <w:lang w:val="en-US" w:eastAsia="zh-CN"/>
              </w:rPr>
              <w:t>其他</w:t>
            </w:r>
          </w:p>
        </w:tc>
        <w:tc>
          <w:tcPr>
            <w:tcW w:w="7328" w:type="dxa"/>
            <w:vAlign w:val="center"/>
          </w:tcPr>
          <w:p w14:paraId="12111CD3">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1.</w:t>
            </w:r>
            <w:r>
              <w:rPr>
                <w:rFonts w:hint="eastAsia"/>
              </w:rPr>
              <w:t>本</w:t>
            </w:r>
            <w:r>
              <w:rPr>
                <w:rFonts w:hint="eastAsia"/>
                <w:lang w:val="en-US" w:eastAsia="zh-CN"/>
              </w:rPr>
              <w:t>竞争性磋商</w:t>
            </w:r>
            <w:r>
              <w:rPr>
                <w:rFonts w:hint="eastAsia"/>
              </w:rPr>
              <w:t>文件各部分规定的期间以时、日、月、年计算。期间开始的时和日，不计算在期间内，从次日开始计算。</w:t>
            </w:r>
            <w:r>
              <w:rPr>
                <w:rFonts w:hint="eastAsia"/>
                <w:lang w:val="en-US" w:eastAsia="zh-CN"/>
              </w:rPr>
              <w:t>期限的最后一日是国家法定节假日的，顺延到节假日后的次日为期限的最后一日</w:t>
            </w:r>
            <w:r>
              <w:rPr>
                <w:rFonts w:hint="eastAsia"/>
              </w:rPr>
              <w:t>。</w:t>
            </w:r>
            <w:r>
              <w:rPr>
                <w:rFonts w:hint="eastAsia"/>
                <w:lang w:val="en-US" w:eastAsia="zh-CN"/>
              </w:rPr>
              <w:t>采购文件涉及的采购法律法规中</w:t>
            </w:r>
            <w:r>
              <w:rPr>
                <w:rFonts w:hint="eastAsia"/>
              </w:rPr>
              <w:t>所称的“以上”、“以下”、“内”、“以内”，包括本数；所称的“不足”，不包括本数</w:t>
            </w:r>
            <w:r>
              <w:rPr>
                <w:rFonts w:hint="eastAsia"/>
                <w:lang w:eastAsia="zh-CN"/>
              </w:rPr>
              <w:t>。</w:t>
            </w:r>
          </w:p>
          <w:p w14:paraId="71C702E2">
            <w:pPr>
              <w:pStyle w:val="47"/>
              <w:keepNext w:val="0"/>
              <w:keepLines w:val="0"/>
              <w:pageBreakBefore w:val="0"/>
              <w:widowControl w:val="0"/>
              <w:kinsoku/>
              <w:wordWrap w:val="0"/>
              <w:overflowPunct/>
              <w:topLinePunct/>
              <w:autoSpaceDE/>
              <w:autoSpaceDN/>
              <w:bidi w:val="0"/>
              <w:adjustRightInd w:val="0"/>
              <w:snapToGrid w:val="0"/>
              <w:ind w:left="60" w:leftChars="25" w:right="60" w:rightChars="25"/>
              <w:textAlignment w:val="auto"/>
              <w:rPr>
                <w:rFonts w:hint="eastAsia"/>
              </w:rPr>
            </w:pPr>
            <w:r>
              <w:rPr>
                <w:rFonts w:hint="eastAsia"/>
                <w:lang w:val="en-US" w:eastAsia="zh-CN"/>
              </w:rPr>
              <w:t>2.</w:t>
            </w:r>
            <w:r>
              <w:rPr>
                <w:rFonts w:hint="eastAsia"/>
              </w:rPr>
              <w:t>本</w:t>
            </w:r>
            <w:r>
              <w:rPr>
                <w:rFonts w:hint="eastAsia"/>
                <w:lang w:val="en-US" w:eastAsia="zh-CN"/>
              </w:rPr>
              <w:t>竞争性磋商</w:t>
            </w:r>
            <w:r>
              <w:rPr>
                <w:rFonts w:hint="eastAsia"/>
              </w:rPr>
              <w:t>文件各部分规定的时间均以北京时间为准。</w:t>
            </w:r>
          </w:p>
        </w:tc>
      </w:tr>
    </w:tbl>
    <w:p w14:paraId="4B15F871">
      <w:pPr>
        <w:rPr>
          <w:rFonts w:hint="eastAsia" w:asciiTheme="minorEastAsia" w:hAnsiTheme="minorEastAsia" w:eastAsiaTheme="minorEastAsia" w:cstheme="minorEastAsia"/>
          <w:color w:val="000000"/>
          <w:sz w:val="36"/>
          <w:szCs w:val="36"/>
          <w:lang w:val="en-US" w:eastAsia="zh-CN"/>
        </w:rPr>
      </w:pPr>
      <w:bookmarkStart w:id="27" w:name="_Toc4011"/>
      <w:bookmarkStart w:id="28" w:name="_Toc23295"/>
      <w:bookmarkStart w:id="29" w:name="_Toc26593"/>
      <w:bookmarkStart w:id="30" w:name="_Toc2042"/>
      <w:r>
        <w:rPr>
          <w:rFonts w:hint="eastAsia"/>
          <w:lang w:val="en-US" w:eastAsia="zh-CN"/>
        </w:rPr>
        <w:br w:type="page"/>
      </w:r>
    </w:p>
    <w:p w14:paraId="71A4E74C">
      <w:pPr>
        <w:pStyle w:val="40"/>
        <w:keepNext w:val="0"/>
        <w:keepLines w:val="0"/>
        <w:pageBreakBefore w:val="0"/>
        <w:widowControl w:val="0"/>
        <w:kinsoku/>
        <w:wordWrap w:val="0"/>
        <w:overflowPunct/>
        <w:topLinePunct/>
        <w:autoSpaceDE/>
        <w:autoSpaceDN/>
        <w:bidi w:val="0"/>
        <w:adjustRightInd w:val="0"/>
        <w:snapToGrid w:val="0"/>
        <w:spacing w:before="157" w:beforeLines="50" w:after="157" w:afterLines="50"/>
        <w:ind w:firstLine="0" w:firstLineChars="0"/>
        <w:jc w:val="center"/>
        <w:textAlignment w:val="auto"/>
        <w:rPr>
          <w:rFonts w:hint="eastAsia" w:ascii="宋体" w:hAnsi="宋体" w:eastAsia="宋体" w:cstheme="minorBidi"/>
          <w:b/>
          <w:kern w:val="2"/>
          <w:sz w:val="36"/>
          <w:szCs w:val="36"/>
          <w:lang w:val="en-US" w:eastAsia="zh-CN" w:bidi="ar-SA"/>
        </w:rPr>
      </w:pPr>
      <w:bookmarkStart w:id="31" w:name="_Toc18951"/>
      <w:bookmarkStart w:id="32" w:name="_Toc5234"/>
      <w:bookmarkStart w:id="33" w:name="_Toc21865"/>
      <w:r>
        <w:rPr>
          <w:rFonts w:hint="eastAsia" w:ascii="宋体" w:hAnsi="宋体" w:eastAsia="宋体" w:cstheme="minorBidi"/>
          <w:b/>
          <w:kern w:val="2"/>
          <w:sz w:val="36"/>
          <w:szCs w:val="36"/>
          <w:lang w:val="en-US" w:eastAsia="zh-CN" w:bidi="ar-SA"/>
        </w:rPr>
        <w:t>竞争性磋商文件</w:t>
      </w:r>
      <w:bookmarkEnd w:id="23"/>
      <w:bookmarkEnd w:id="27"/>
      <w:bookmarkEnd w:id="28"/>
      <w:bookmarkEnd w:id="29"/>
      <w:bookmarkEnd w:id="30"/>
      <w:bookmarkEnd w:id="31"/>
      <w:bookmarkEnd w:id="32"/>
      <w:bookmarkEnd w:id="33"/>
    </w:p>
    <w:p w14:paraId="4579E979">
      <w:pPr>
        <w:pStyle w:val="55"/>
        <w:keepNext w:val="0"/>
        <w:keepLines w:val="0"/>
        <w:pageBreakBefore w:val="0"/>
        <w:widowControl w:val="0"/>
        <w:kinsoku/>
        <w:overflowPunct/>
        <w:autoSpaceDE/>
        <w:autoSpaceDN/>
        <w:bidi w:val="0"/>
        <w:snapToGrid w:val="0"/>
        <w:spacing w:line="520" w:lineRule="exact"/>
        <w:rPr>
          <w:rFonts w:hint="eastAsia"/>
        </w:rPr>
      </w:pPr>
      <w:bookmarkStart w:id="34" w:name="_Toc22302"/>
      <w:bookmarkStart w:id="35" w:name="_Toc22126"/>
      <w:bookmarkStart w:id="36" w:name="_Toc5747"/>
      <w:bookmarkStart w:id="37" w:name="_Toc22917"/>
      <w:bookmarkStart w:id="38" w:name="_Toc307564829"/>
      <w:bookmarkStart w:id="39" w:name="_Toc28450"/>
      <w:bookmarkStart w:id="40" w:name="_Toc309897492"/>
      <w:bookmarkStart w:id="41" w:name="_Toc32483"/>
      <w:bookmarkStart w:id="42" w:name="_Toc217446034"/>
      <w:bookmarkStart w:id="43" w:name="_Toc32648"/>
      <w:bookmarkStart w:id="44" w:name="_Toc29532"/>
      <w:bookmarkStart w:id="45" w:name="_Toc319440119"/>
      <w:bookmarkStart w:id="46" w:name="_Toc20769"/>
      <w:bookmarkStart w:id="47" w:name="_Toc308084574"/>
      <w:bookmarkStart w:id="48" w:name="_Toc3601"/>
      <w:bookmarkStart w:id="49" w:name="_Toc12046"/>
      <w:bookmarkStart w:id="50" w:name="_Toc307501086"/>
      <w:bookmarkStart w:id="51" w:name="_Toc308188129"/>
      <w:bookmarkStart w:id="52" w:name="_Toc5790"/>
      <w:bookmarkStart w:id="53" w:name="_Toc319439877"/>
      <w:bookmarkStart w:id="54" w:name="_Toc31870"/>
      <w:bookmarkStart w:id="55" w:name="_Toc10311"/>
      <w:bookmarkStart w:id="56" w:name="_Toc23796"/>
      <w:bookmarkStart w:id="57" w:name="_Toc327196263"/>
      <w:r>
        <w:rPr>
          <w:rFonts w:hint="eastAsia"/>
        </w:rPr>
        <w:t>竞争性磋商</w:t>
      </w:r>
      <w:r>
        <w:rPr>
          <w:rFonts w:hint="eastAsia"/>
          <w:lang w:val="en-US" w:eastAsia="zh-CN"/>
        </w:rPr>
        <w:t>文件的构成</w:t>
      </w:r>
      <w:bookmarkEnd w:id="34"/>
      <w:r>
        <w:rPr>
          <w:rFonts w:hint="eastAsia"/>
          <w:lang w:val="en-US" w:eastAsia="zh-CN"/>
        </w:rPr>
        <w:t>(实质性要求)</w:t>
      </w:r>
      <w:bookmarkEnd w:id="35"/>
      <w:bookmarkEnd w:id="36"/>
      <w:bookmarkEnd w:id="37"/>
    </w:p>
    <w:p w14:paraId="6659116C">
      <w:pPr>
        <w:pStyle w:val="51"/>
        <w:keepNext w:val="0"/>
        <w:keepLines w:val="0"/>
        <w:pageBreakBefore w:val="0"/>
        <w:widowControl w:val="0"/>
        <w:kinsoku/>
        <w:overflowPunct/>
        <w:autoSpaceDE/>
        <w:autoSpaceDN/>
        <w:bidi w:val="0"/>
        <w:snapToGrid w:val="0"/>
        <w:spacing w:line="520" w:lineRule="exact"/>
        <w:rPr>
          <w:rFonts w:hint="eastAsia"/>
        </w:rPr>
      </w:pPr>
      <w:r>
        <w:rPr>
          <w:rFonts w:hint="eastAsia"/>
        </w:rPr>
        <w:t>竞争性磋商文件是供应商准备</w:t>
      </w:r>
      <w:r>
        <w:rPr>
          <w:rFonts w:hint="eastAsia"/>
          <w:lang w:val="en-US" w:eastAsia="zh-CN"/>
        </w:rPr>
        <w:t>响应</w:t>
      </w:r>
      <w:r>
        <w:rPr>
          <w:rFonts w:hint="eastAsia"/>
        </w:rPr>
        <w:t>文件和参加</w:t>
      </w:r>
      <w:r>
        <w:rPr>
          <w:rFonts w:hint="eastAsia"/>
          <w:lang w:val="en-US" w:eastAsia="zh-CN"/>
        </w:rPr>
        <w:t>竞争性磋商</w:t>
      </w:r>
      <w:r>
        <w:rPr>
          <w:rFonts w:hint="eastAsia"/>
        </w:rPr>
        <w:t>的依据，同时也是</w:t>
      </w:r>
      <w:r>
        <w:rPr>
          <w:rFonts w:hint="eastAsia"/>
          <w:lang w:val="en-US" w:eastAsia="zh-CN"/>
        </w:rPr>
        <w:t>评审</w:t>
      </w:r>
      <w:r>
        <w:rPr>
          <w:rFonts w:hint="eastAsia"/>
        </w:rPr>
        <w:t>的重要依据，具有准法律文件性质。竞争性磋商文件用以阐明</w:t>
      </w:r>
      <w:r>
        <w:rPr>
          <w:rFonts w:hint="eastAsia"/>
          <w:lang w:val="en-US" w:eastAsia="zh-CN"/>
        </w:rPr>
        <w:t>磋商</w:t>
      </w:r>
      <w:r>
        <w:rPr>
          <w:rFonts w:hint="eastAsia"/>
        </w:rPr>
        <w:t>项目所需的资质、技术、服务及报价等要求、</w:t>
      </w:r>
      <w:r>
        <w:rPr>
          <w:rFonts w:hint="eastAsia"/>
          <w:lang w:val="en-US" w:eastAsia="zh-CN"/>
        </w:rPr>
        <w:t>磋商</w:t>
      </w:r>
      <w:r>
        <w:rPr>
          <w:rFonts w:hint="eastAsia"/>
        </w:rPr>
        <w:t>程序、有关规定和注意事项以及合同草案条款等。</w:t>
      </w:r>
    </w:p>
    <w:p w14:paraId="450D7957">
      <w:pPr>
        <w:pStyle w:val="51"/>
        <w:keepNext w:val="0"/>
        <w:keepLines w:val="0"/>
        <w:pageBreakBefore w:val="0"/>
        <w:widowControl w:val="0"/>
        <w:kinsoku/>
        <w:overflowPunct/>
        <w:autoSpaceDE/>
        <w:autoSpaceDN/>
        <w:bidi w:val="0"/>
        <w:snapToGrid w:val="0"/>
        <w:spacing w:line="520" w:lineRule="exact"/>
        <w:rPr>
          <w:rFonts w:hint="eastAsia"/>
        </w:rPr>
      </w:pPr>
      <w:r>
        <w:rPr>
          <w:rFonts w:hint="eastAsia"/>
        </w:rPr>
        <w:t>供应商应认真阅读和充分理解磋商文件中所有的事项、格式条款和规范要求。供应商应详细阅读磋商文件的全部内容，按照磋商文件的要求提供响应文件，并保证所提供的全部资料的真实性和有效性，一经发现有虚假行为的，将取消其参加磋商或成交资格，并承担相应的法律责任。</w:t>
      </w:r>
    </w:p>
    <w:p w14:paraId="3639BBA4">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58" w:name="_Toc4820"/>
      <w:bookmarkStart w:id="59" w:name="_Toc27682"/>
      <w:bookmarkStart w:id="60" w:name="_Toc11074"/>
      <w:bookmarkStart w:id="61" w:name="_Toc2367"/>
      <w:r>
        <w:rPr>
          <w:rFonts w:hint="eastAsia"/>
          <w:lang w:val="en-US" w:eastAsia="zh-CN"/>
        </w:rPr>
        <w:t>竞争性磋商文件包含内容</w:t>
      </w:r>
      <w:bookmarkEnd w:id="58"/>
      <w:bookmarkEnd w:id="59"/>
      <w:bookmarkEnd w:id="60"/>
      <w:bookmarkEnd w:id="61"/>
    </w:p>
    <w:p w14:paraId="7CF507D6">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供应商资格条件、采购邀请、采购方式、采购预算、采购需求、采购政策要求、评审程序、评审方法、评审标准、价格构成或者报价要求、响应文件编制要求、</w:t>
      </w:r>
      <w:r>
        <w:rPr>
          <w:rFonts w:hint="eastAsia"/>
          <w:color w:val="auto"/>
          <w:highlight w:val="none"/>
          <w:lang w:eastAsia="zh-CN"/>
        </w:rPr>
        <w:t>保证金交纳数额和形式以及不予退还的情形</w:t>
      </w:r>
      <w:r>
        <w:rPr>
          <w:rFonts w:hint="eastAsia"/>
          <w:color w:val="auto"/>
        </w:rPr>
        <w:t>、</w:t>
      </w:r>
      <w:r>
        <w:rPr>
          <w:rFonts w:hint="eastAsia"/>
        </w:rPr>
        <w:t>磋商过程中可能实质性变动的内容、响应文件提交的截止时间、开启时间及地点以及</w:t>
      </w:r>
      <w:r>
        <w:rPr>
          <w:rFonts w:hint="eastAsia"/>
          <w:lang w:val="en-US" w:eastAsia="zh-CN"/>
        </w:rPr>
        <w:t>采购</w:t>
      </w:r>
      <w:r>
        <w:rPr>
          <w:rFonts w:hint="eastAsia"/>
        </w:rPr>
        <w:t>合同等</w:t>
      </w:r>
      <w:r>
        <w:rPr>
          <w:rFonts w:hint="eastAsia"/>
          <w:lang w:eastAsia="zh-CN"/>
        </w:rPr>
        <w:t>。</w:t>
      </w:r>
      <w:r>
        <w:rPr>
          <w:rFonts w:hint="eastAsia"/>
        </w:rPr>
        <w:t>本</w:t>
      </w:r>
      <w:r>
        <w:rPr>
          <w:rFonts w:hint="eastAsia"/>
          <w:lang w:val="en-US" w:eastAsia="zh-CN"/>
        </w:rPr>
        <w:t>竞争性磋商</w:t>
      </w:r>
      <w:r>
        <w:rPr>
          <w:rFonts w:hint="eastAsia"/>
        </w:rPr>
        <w:t>文件包括以下内容：</w:t>
      </w:r>
    </w:p>
    <w:p w14:paraId="0A92719A">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rPr>
      </w:pPr>
      <w:r>
        <w:rPr>
          <w:rFonts w:hint="eastAsia"/>
        </w:rPr>
        <w:t>竞争性磋商邀请</w:t>
      </w:r>
      <w:r>
        <w:rPr>
          <w:rFonts w:hint="eastAsia"/>
          <w:lang w:eastAsia="zh-CN"/>
        </w:rPr>
        <w:t>；</w:t>
      </w:r>
    </w:p>
    <w:p w14:paraId="0979AFF3">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rPr>
      </w:pPr>
      <w:r>
        <w:rPr>
          <w:rFonts w:hint="eastAsia"/>
        </w:rPr>
        <w:t>磋商须知</w:t>
      </w:r>
      <w:r>
        <w:rPr>
          <w:rFonts w:hint="eastAsia"/>
          <w:lang w:eastAsia="zh-CN"/>
        </w:rPr>
        <w:t>；</w:t>
      </w:r>
    </w:p>
    <w:p w14:paraId="1F7A6203">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rPr>
      </w:pPr>
      <w:r>
        <w:rPr>
          <w:rFonts w:hint="eastAsia"/>
        </w:rPr>
        <w:t>供应商资格</w:t>
      </w:r>
      <w:r>
        <w:rPr>
          <w:rFonts w:hint="eastAsia"/>
          <w:lang w:val="en-US" w:eastAsia="zh-CN"/>
        </w:rPr>
        <w:t>条件；</w:t>
      </w:r>
    </w:p>
    <w:p w14:paraId="2D000B08">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lang w:val="en-US" w:eastAsia="zh-CN"/>
        </w:rPr>
      </w:pPr>
      <w:r>
        <w:rPr>
          <w:rFonts w:hint="eastAsia"/>
          <w:lang w:val="en-US" w:eastAsia="zh-CN"/>
        </w:rPr>
        <w:t>采购需求；</w:t>
      </w:r>
    </w:p>
    <w:p w14:paraId="4713C617">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lang w:val="en-US" w:eastAsia="zh-CN"/>
        </w:rPr>
      </w:pPr>
      <w:r>
        <w:rPr>
          <w:rFonts w:hint="eastAsia"/>
        </w:rPr>
        <w:t>采购政策要求</w:t>
      </w:r>
      <w:r>
        <w:rPr>
          <w:rFonts w:hint="eastAsia"/>
          <w:lang w:eastAsia="zh-CN"/>
        </w:rPr>
        <w:t>；</w:t>
      </w:r>
    </w:p>
    <w:p w14:paraId="19B42658">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rPr>
      </w:pPr>
      <w:r>
        <w:rPr>
          <w:rFonts w:hint="eastAsia"/>
        </w:rPr>
        <w:t>评审程序、评审方法、评审标准</w:t>
      </w:r>
      <w:r>
        <w:rPr>
          <w:rFonts w:hint="eastAsia"/>
          <w:lang w:eastAsia="zh-CN"/>
        </w:rPr>
        <w:t>；</w:t>
      </w:r>
    </w:p>
    <w:p w14:paraId="6CE32F08">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rPr>
      </w:pPr>
      <w:r>
        <w:rPr>
          <w:rFonts w:hint="eastAsia"/>
        </w:rPr>
        <w:t>报价要求</w:t>
      </w:r>
      <w:r>
        <w:rPr>
          <w:rFonts w:hint="eastAsia"/>
          <w:lang w:eastAsia="zh-CN"/>
        </w:rPr>
        <w:t>；</w:t>
      </w:r>
    </w:p>
    <w:p w14:paraId="1E90A5C1">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rPr>
      </w:pPr>
      <w:r>
        <w:rPr>
          <w:rFonts w:hint="eastAsia"/>
        </w:rPr>
        <w:t>响应文件编制要求</w:t>
      </w:r>
      <w:r>
        <w:rPr>
          <w:rFonts w:hint="eastAsia"/>
          <w:lang w:eastAsia="zh-CN"/>
        </w:rPr>
        <w:t>；</w:t>
      </w:r>
    </w:p>
    <w:p w14:paraId="1B88DDCA">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rPr>
      </w:pPr>
      <w:r>
        <w:rPr>
          <w:rFonts w:hint="eastAsia"/>
        </w:rPr>
        <w:t>磋商过程中可能实质性变动的内容</w:t>
      </w:r>
      <w:r>
        <w:rPr>
          <w:rFonts w:hint="eastAsia"/>
          <w:lang w:eastAsia="zh-CN"/>
        </w:rPr>
        <w:t>；</w:t>
      </w:r>
    </w:p>
    <w:p w14:paraId="7A44EFD5">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rPr>
      </w:pPr>
      <w:r>
        <w:rPr>
          <w:rFonts w:hint="eastAsia"/>
          <w:lang w:val="en-US" w:eastAsia="zh-CN"/>
        </w:rPr>
        <w:t>采购</w:t>
      </w:r>
      <w:r>
        <w:rPr>
          <w:rFonts w:hint="eastAsia"/>
        </w:rPr>
        <w:t>合同</w:t>
      </w:r>
      <w:r>
        <w:rPr>
          <w:rFonts w:hint="eastAsia"/>
          <w:lang w:eastAsia="zh-CN"/>
        </w:rPr>
        <w:t>；</w:t>
      </w:r>
    </w:p>
    <w:p w14:paraId="28933198">
      <w:pPr>
        <w:pStyle w:val="41"/>
        <w:keepNext w:val="0"/>
        <w:keepLines w:val="0"/>
        <w:pageBreakBefore w:val="0"/>
        <w:widowControl w:val="0"/>
        <w:numPr>
          <w:ilvl w:val="0"/>
          <w:numId w:val="9"/>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rPr>
      </w:pPr>
      <w:r>
        <w:rPr>
          <w:rFonts w:hint="eastAsia"/>
        </w:rPr>
        <w:t>磋商过程中形成的书面</w:t>
      </w:r>
      <w:r>
        <w:rPr>
          <w:rFonts w:hint="eastAsia"/>
          <w:lang w:val="en-US" w:eastAsia="zh-CN"/>
        </w:rPr>
        <w:t>澄清、说明、更正。</w:t>
      </w:r>
    </w:p>
    <w:p w14:paraId="184B623F">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供应商应详细阅读竞争性磋商文件的全部内容，并实质性响应竞争性磋商文件的要求</w:t>
      </w:r>
      <w:r>
        <w:rPr>
          <w:rFonts w:hint="eastAsia"/>
          <w:lang w:eastAsia="zh-CN"/>
        </w:rPr>
        <w:t>，</w:t>
      </w:r>
      <w:r>
        <w:rPr>
          <w:rFonts w:hint="eastAsia"/>
          <w:lang w:val="en-US" w:eastAsia="zh-CN"/>
        </w:rPr>
        <w:t>供应商未</w:t>
      </w:r>
      <w:r>
        <w:rPr>
          <w:rFonts w:hint="eastAsia"/>
        </w:rPr>
        <w:t>对</w:t>
      </w:r>
      <w:r>
        <w:rPr>
          <w:rFonts w:hint="eastAsia"/>
          <w:lang w:val="en-US" w:eastAsia="zh-CN"/>
        </w:rPr>
        <w:t>竞争性磋商</w:t>
      </w:r>
      <w:r>
        <w:rPr>
          <w:rFonts w:hint="eastAsia"/>
        </w:rPr>
        <w:t>文件全面做出实质性响应是</w:t>
      </w:r>
      <w:r>
        <w:rPr>
          <w:rFonts w:hint="eastAsia"/>
          <w:lang w:val="en-US" w:eastAsia="zh-CN"/>
        </w:rPr>
        <w:t>供应商</w:t>
      </w:r>
      <w:r>
        <w:rPr>
          <w:rFonts w:hint="eastAsia"/>
        </w:rPr>
        <w:t>的风险。</w:t>
      </w:r>
    </w:p>
    <w:p w14:paraId="3B2CED5F">
      <w:pPr>
        <w:pStyle w:val="55"/>
        <w:keepNext w:val="0"/>
        <w:keepLines w:val="0"/>
        <w:pageBreakBefore w:val="0"/>
        <w:widowControl w:val="0"/>
        <w:kinsoku/>
        <w:overflowPunct/>
        <w:autoSpaceDE/>
        <w:autoSpaceDN/>
        <w:bidi w:val="0"/>
        <w:snapToGrid w:val="0"/>
        <w:spacing w:line="520" w:lineRule="exact"/>
        <w:rPr>
          <w:rFonts w:hint="eastAsia"/>
        </w:rPr>
      </w:pPr>
      <w:bookmarkStart w:id="62" w:name="_Toc18396"/>
      <w:bookmarkStart w:id="63" w:name="_Toc17499"/>
      <w:bookmarkStart w:id="64" w:name="_Toc11307"/>
      <w:bookmarkStart w:id="65" w:name="_Toc23854"/>
      <w:r>
        <w:rPr>
          <w:rFonts w:hint="eastAsia"/>
          <w:lang w:val="en-US" w:eastAsia="zh-CN"/>
        </w:rPr>
        <w:t>竞争性磋商</w:t>
      </w:r>
      <w:r>
        <w:rPr>
          <w:rFonts w:hint="eastAsia"/>
        </w:rPr>
        <w:t>文件的澄清和修改</w:t>
      </w:r>
      <w:bookmarkEnd w:id="62"/>
      <w:bookmarkEnd w:id="63"/>
      <w:bookmarkEnd w:id="64"/>
      <w:bookmarkEnd w:id="65"/>
    </w:p>
    <w:p w14:paraId="1A320C1B">
      <w:pPr>
        <w:pStyle w:val="38"/>
        <w:keepNext w:val="0"/>
        <w:keepLines w:val="0"/>
        <w:pageBreakBefore w:val="0"/>
        <w:widowControl w:val="0"/>
        <w:numPr>
          <w:ilvl w:val="1"/>
          <w:numId w:val="0"/>
        </w:numPr>
        <w:kinsoku/>
        <w:overflowPunct/>
        <w:autoSpaceDE/>
        <w:autoSpaceDN/>
        <w:bidi w:val="0"/>
        <w:snapToGrid w:val="0"/>
        <w:spacing w:line="520" w:lineRule="exact"/>
        <w:ind w:firstLine="480" w:firstLineChars="200"/>
        <w:rPr>
          <w:rFonts w:hint="eastAsia"/>
          <w:lang w:eastAsia="zh-CN"/>
        </w:rPr>
      </w:pPr>
      <w:bookmarkStart w:id="66" w:name="_Toc21821"/>
      <w:r>
        <w:rPr>
          <w:rFonts w:hint="eastAsia"/>
          <w:lang w:val="en-US" w:eastAsia="zh-CN"/>
        </w:rPr>
        <w:t>1.</w:t>
      </w:r>
      <w:r>
        <w:rPr>
          <w:rFonts w:hint="eastAsia"/>
        </w:rPr>
        <w:t>提交首次响应文件截止之日前，采购人、采购代理机构或者磋商小组可以对已发出的磋商文件进行必要的澄清或者修改，澄清或者修改的内容作为磋商文件的组成部分。</w:t>
      </w:r>
    </w:p>
    <w:p w14:paraId="1FCCE651">
      <w:pPr>
        <w:pStyle w:val="38"/>
        <w:keepNext w:val="0"/>
        <w:keepLines w:val="0"/>
        <w:pageBreakBefore w:val="0"/>
        <w:widowControl w:val="0"/>
        <w:numPr>
          <w:ilvl w:val="1"/>
          <w:numId w:val="0"/>
        </w:numPr>
        <w:kinsoku/>
        <w:overflowPunct/>
        <w:autoSpaceDE/>
        <w:autoSpaceDN/>
        <w:bidi w:val="0"/>
        <w:snapToGrid w:val="0"/>
        <w:spacing w:line="520" w:lineRule="exact"/>
        <w:ind w:firstLine="480" w:firstLineChars="200"/>
        <w:rPr>
          <w:rFonts w:hint="eastAsia"/>
          <w:lang w:eastAsia="zh-CN"/>
        </w:rPr>
      </w:pPr>
      <w:r>
        <w:rPr>
          <w:rFonts w:hint="eastAsia"/>
          <w:lang w:val="en-US" w:eastAsia="zh-CN"/>
        </w:rPr>
        <w:t>2.采购代理机构将通过</w:t>
      </w:r>
      <w:r>
        <w:rPr>
          <w:rFonts w:hint="eastAsia" w:cs="宋体"/>
          <w:color w:val="auto"/>
          <w:highlight w:val="none"/>
          <w:lang w:val="en-US" w:eastAsia="zh-CN"/>
        </w:rPr>
        <w:t>报名</w:t>
      </w:r>
      <w:r>
        <w:rPr>
          <w:rFonts w:hint="eastAsia" w:ascii="宋体" w:hAnsi="宋体" w:eastAsia="宋体" w:cs="宋体"/>
          <w:color w:val="auto"/>
          <w:highlight w:val="none"/>
        </w:rPr>
        <w:t>系统</w:t>
      </w:r>
      <w:r>
        <w:rPr>
          <w:rFonts w:hint="eastAsia"/>
        </w:rPr>
        <w:t>将澄清或者修改的内容通知所有按照规定获得了磋商文件的供应商，同时在</w:t>
      </w:r>
      <w:r>
        <w:rPr>
          <w:rFonts w:hint="eastAsia"/>
          <w:lang w:eastAsia="zh-CN"/>
        </w:rPr>
        <w:t>“</w:t>
      </w:r>
      <w:r>
        <w:rPr>
          <w:rFonts w:hint="eastAsia"/>
          <w:lang w:val="en-US" w:eastAsia="zh-CN"/>
        </w:rPr>
        <w:t>西南石油大学采购信息网(http://cwcggl.swpu.edu.cn/index.chtml)</w:t>
      </w:r>
      <w:r>
        <w:rPr>
          <w:rFonts w:hint="eastAsia"/>
          <w:lang w:eastAsia="zh-CN"/>
        </w:rPr>
        <w:t>”</w:t>
      </w:r>
      <w:r>
        <w:rPr>
          <w:rFonts w:hint="eastAsia"/>
        </w:rPr>
        <w:t>发布更正公告</w:t>
      </w:r>
      <w:r>
        <w:rPr>
          <w:rFonts w:hint="eastAsia"/>
          <w:lang w:eastAsia="zh-CN"/>
        </w:rPr>
        <w:t>。</w:t>
      </w:r>
    </w:p>
    <w:p w14:paraId="78DE0BC2">
      <w:pPr>
        <w:pStyle w:val="38"/>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firstLine="480" w:firstLineChars="200"/>
        <w:textAlignment w:val="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3.</w:t>
      </w:r>
      <w:r>
        <w:rPr>
          <w:rFonts w:hint="eastAsia"/>
          <w:color w:val="000000" w:themeColor="text1"/>
          <w:highlight w:val="none"/>
          <w14:textFill>
            <w14:solidFill>
              <w14:schemeClr w14:val="tx1"/>
            </w14:solidFill>
          </w14:textFill>
        </w:rPr>
        <w:t>澄清或者修改的内容可能影响响应文件编制的，采购人、采购代理机构应当在提交首次响应文件截止时间至少5日前，</w:t>
      </w:r>
      <w:r>
        <w:rPr>
          <w:rFonts w:hint="eastAsia"/>
          <w:color w:val="000000" w:themeColor="text1"/>
          <w:highlight w:val="none"/>
          <w:lang w:val="en-US" w:eastAsia="zh-CN"/>
          <w14:textFill>
            <w14:solidFill>
              <w14:schemeClr w14:val="tx1"/>
            </w14:solidFill>
          </w14:textFill>
        </w:rPr>
        <w:t>发布公告</w:t>
      </w:r>
      <w:r>
        <w:rPr>
          <w:rFonts w:hint="eastAsia"/>
          <w:color w:val="000000" w:themeColor="text1"/>
          <w:highlight w:val="none"/>
          <w14:textFill>
            <w14:solidFill>
              <w14:schemeClr w14:val="tx1"/>
            </w14:solidFill>
          </w14:textFill>
        </w:rPr>
        <w:t>通知所有获取磋商文件的供应商；不足5日的，采购人、采购代理机构应当顺延提交首次响应文件截止时间</w:t>
      </w:r>
      <w:r>
        <w:rPr>
          <w:rFonts w:hint="eastAsia"/>
          <w:color w:val="000000" w:themeColor="text1"/>
          <w:highlight w:val="none"/>
          <w:lang w:eastAsia="zh-CN"/>
          <w14:textFill>
            <w14:solidFill>
              <w14:schemeClr w14:val="tx1"/>
            </w14:solidFill>
          </w14:textFill>
        </w:rPr>
        <w:t>。</w:t>
      </w:r>
    </w:p>
    <w:p w14:paraId="56028CC9">
      <w:pPr>
        <w:pStyle w:val="38"/>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firstLine="480" w:firstLineChars="200"/>
        <w:textAlignment w:val="auto"/>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4.</w:t>
      </w:r>
      <w:r>
        <w:rPr>
          <w:rFonts w:hint="eastAsia"/>
          <w:color w:val="000000" w:themeColor="text1"/>
          <w:highlight w:val="none"/>
          <w:lang w:eastAsia="zh-CN"/>
          <w14:textFill>
            <w14:solidFill>
              <w14:schemeClr w14:val="tx1"/>
            </w14:solidFill>
          </w14:textFill>
        </w:rPr>
        <w:t>供应商应于递交响应文件截止前，在“</w:t>
      </w:r>
      <w:r>
        <w:rPr>
          <w:rFonts w:hint="eastAsia"/>
          <w:color w:val="000000" w:themeColor="text1"/>
          <w:highlight w:val="none"/>
          <w:lang w:val="en-US" w:eastAsia="zh-CN"/>
          <w14:textFill>
            <w14:solidFill>
              <w14:schemeClr w14:val="tx1"/>
            </w14:solidFill>
          </w14:textFill>
        </w:rPr>
        <w:t>西南石油大学采购信息网(http://cwcggl.swpu.edu.cn/index.chtml)</w:t>
      </w:r>
      <w:r>
        <w:rPr>
          <w:rFonts w:hint="eastAsia"/>
          <w:color w:val="000000" w:themeColor="text1"/>
          <w:highlight w:val="none"/>
          <w:lang w:eastAsia="zh-CN"/>
          <w14:textFill>
            <w14:solidFill>
              <w14:schemeClr w14:val="tx1"/>
            </w14:solidFill>
          </w14:textFill>
        </w:rPr>
        <w:t>”查询本项目的更正公告，以保证其对磋商文件做出正确的响应。供应商未及时关注更正公告的信息造成的</w:t>
      </w:r>
      <w:r>
        <w:rPr>
          <w:rFonts w:hint="eastAsia"/>
          <w:color w:val="000000" w:themeColor="text1"/>
          <w:highlight w:val="none"/>
          <w:lang w:val="en-US" w:eastAsia="zh-CN"/>
          <w14:textFill>
            <w14:solidFill>
              <w14:schemeClr w14:val="tx1"/>
            </w14:solidFill>
          </w14:textFill>
        </w:rPr>
        <w:t>不利</w:t>
      </w:r>
      <w:r>
        <w:rPr>
          <w:rFonts w:hint="eastAsia"/>
          <w:color w:val="000000" w:themeColor="text1"/>
          <w:highlight w:val="none"/>
          <w:lang w:eastAsia="zh-CN"/>
          <w14:textFill>
            <w14:solidFill>
              <w14:schemeClr w14:val="tx1"/>
            </w14:solidFill>
          </w14:textFill>
        </w:rPr>
        <w:t>后果，其责任由供应商自行负责。</w:t>
      </w:r>
    </w:p>
    <w:p w14:paraId="7E298CA7">
      <w:pPr>
        <w:pStyle w:val="38"/>
        <w:keepNext w:val="0"/>
        <w:keepLines w:val="0"/>
        <w:pageBreakBefore w:val="0"/>
        <w:widowControl w:val="0"/>
        <w:numPr>
          <w:ilvl w:val="1"/>
          <w:numId w:val="0"/>
        </w:numPr>
        <w:kinsoku/>
        <w:overflowPunct/>
        <w:autoSpaceDE/>
        <w:autoSpaceDN/>
        <w:bidi w:val="0"/>
        <w:snapToGrid w:val="0"/>
        <w:spacing w:line="520" w:lineRule="exact"/>
        <w:ind w:firstLine="480" w:firstLineChars="200"/>
        <w:rPr>
          <w:rFonts w:hint="eastAsia"/>
          <w:lang w:val="en-US" w:eastAsia="zh-CN"/>
        </w:rPr>
      </w:pPr>
      <w:r>
        <w:rPr>
          <w:rFonts w:hint="eastAsia"/>
          <w:lang w:val="en-US" w:eastAsia="zh-CN"/>
        </w:rPr>
        <w:t>5.评审委员会在评审过程中，需要供应商对响应文件中含义不明确、同类问题表述不一致或者有明显文字和计算错误的内容等作出必要的澄清、说明或者更正的，应当以书面形式(须由评审委员会全体成员签字)作出，并给予供应商必要的反馈时间，但不得超出响应文件的范围或者改变响应文件的实质性内容。</w:t>
      </w:r>
    </w:p>
    <w:p w14:paraId="2A1737C6">
      <w:pPr>
        <w:pStyle w:val="38"/>
        <w:keepNext w:val="0"/>
        <w:keepLines w:val="0"/>
        <w:pageBreakBefore w:val="0"/>
        <w:widowControl w:val="0"/>
        <w:numPr>
          <w:ilvl w:val="1"/>
          <w:numId w:val="0"/>
        </w:numPr>
        <w:kinsoku/>
        <w:overflowPunct/>
        <w:autoSpaceDE/>
        <w:autoSpaceDN/>
        <w:bidi w:val="0"/>
        <w:snapToGrid w:val="0"/>
        <w:spacing w:line="520" w:lineRule="exact"/>
        <w:ind w:firstLine="480" w:firstLineChars="200"/>
        <w:rPr>
          <w:rFonts w:hint="eastAsia"/>
          <w:lang w:val="en-US" w:eastAsia="zh-CN"/>
        </w:rPr>
      </w:pPr>
      <w:r>
        <w:rPr>
          <w:rFonts w:hint="eastAsia"/>
          <w:lang w:val="en-US" w:eastAsia="zh-CN"/>
        </w:rPr>
        <w:t>6.供应商的澄清、说明或者更正材料应当采用书面形式，并由其法定代表人(主要负责人)或其授权代表签字或者加盖公章。由授权代表签字的，应当附法定代表人授权书。供应商为自然人的，应当由本人签字并附身份证明。供应商响应文件中已经提供授权书、身份证明的，可以不再提供。</w:t>
      </w:r>
    </w:p>
    <w:p w14:paraId="46877BB0">
      <w:pPr>
        <w:pStyle w:val="38"/>
        <w:keepNext w:val="0"/>
        <w:keepLines w:val="0"/>
        <w:pageBreakBefore w:val="0"/>
        <w:widowControl w:val="0"/>
        <w:numPr>
          <w:ilvl w:val="1"/>
          <w:numId w:val="0"/>
        </w:numPr>
        <w:kinsoku/>
        <w:overflowPunct/>
        <w:autoSpaceDE/>
        <w:autoSpaceDN/>
        <w:bidi w:val="0"/>
        <w:snapToGrid w:val="0"/>
        <w:spacing w:line="520" w:lineRule="exact"/>
        <w:ind w:firstLine="480" w:firstLineChars="200"/>
        <w:rPr>
          <w:rFonts w:hint="eastAsia"/>
          <w:lang w:val="en-US" w:eastAsia="zh-CN"/>
        </w:rPr>
      </w:pPr>
      <w:r>
        <w:rPr>
          <w:rFonts w:hint="eastAsia"/>
          <w:lang w:val="en-US" w:eastAsia="zh-CN"/>
        </w:rPr>
        <w:t>7.评审委员会应当积极履行澄清、说明或者更正的职责，不得滥用权力。供应商的响应文件可以要求澄清、说明或者更正的，不得未经澄清、说明或者更正而直接作无效处理。</w:t>
      </w:r>
    </w:p>
    <w:p w14:paraId="410E0E5D">
      <w:pPr>
        <w:pStyle w:val="38"/>
        <w:keepNext w:val="0"/>
        <w:keepLines w:val="0"/>
        <w:pageBreakBefore w:val="0"/>
        <w:widowControl w:val="0"/>
        <w:numPr>
          <w:ilvl w:val="1"/>
          <w:numId w:val="0"/>
        </w:numPr>
        <w:kinsoku/>
        <w:overflowPunct/>
        <w:autoSpaceDE/>
        <w:autoSpaceDN/>
        <w:bidi w:val="0"/>
        <w:snapToGrid w:val="0"/>
        <w:spacing w:line="520" w:lineRule="exact"/>
        <w:ind w:firstLine="480" w:firstLineChars="200"/>
        <w:rPr>
          <w:rFonts w:hint="eastAsia"/>
          <w:lang w:val="en-US" w:eastAsia="zh-CN"/>
        </w:rPr>
      </w:pPr>
      <w:r>
        <w:rPr>
          <w:rFonts w:hint="eastAsia"/>
          <w:lang w:val="en-US" w:eastAsia="zh-CN"/>
        </w:rPr>
        <w:t>8.供应商认为采购代理机构需要对磋商文件进行澄清或者修改的，可以在响应文件递交的截止时间前以书面形式向采购代理机构提出申请，由采购代理机构决定是否采纳供应商的申请事项。</w:t>
      </w:r>
    </w:p>
    <w:p w14:paraId="255C048E">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67" w:name="_Toc1453"/>
      <w:bookmarkStart w:id="68" w:name="_Toc4867"/>
      <w:bookmarkStart w:id="69" w:name="_Toc7821"/>
      <w:r>
        <w:rPr>
          <w:rFonts w:hint="eastAsia"/>
          <w:lang w:val="en-US" w:eastAsia="zh-CN"/>
        </w:rPr>
        <w:t>实质性变动</w:t>
      </w:r>
      <w:bookmarkEnd w:id="66"/>
      <w:bookmarkEnd w:id="67"/>
      <w:bookmarkEnd w:id="68"/>
      <w:bookmarkEnd w:id="69"/>
    </w:p>
    <w:p w14:paraId="0377AFDA">
      <w:pPr>
        <w:pStyle w:val="51"/>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lang w:val="en-US" w:eastAsia="zh-CN"/>
        </w:rPr>
        <w:t>磋商小组对磋商文件作出的实质性变动是磋商文件的有效组成部分，磋商小组应当及时以书面形式同时通知所有参加磋商的供应商。</w:t>
      </w:r>
    </w:p>
    <w:p w14:paraId="0AEF6481">
      <w:pPr>
        <w:pStyle w:val="40"/>
        <w:keepNext w:val="0"/>
        <w:keepLines w:val="0"/>
        <w:pageBreakBefore w:val="0"/>
        <w:widowControl w:val="0"/>
        <w:kinsoku/>
        <w:wordWrap w:val="0"/>
        <w:overflowPunct/>
        <w:topLinePunct/>
        <w:autoSpaceDE/>
        <w:autoSpaceDN/>
        <w:bidi w:val="0"/>
        <w:adjustRightInd w:val="0"/>
        <w:snapToGrid w:val="0"/>
        <w:spacing w:before="157" w:beforeLines="50" w:after="157" w:afterLines="50" w:line="520" w:lineRule="exact"/>
        <w:ind w:firstLine="0" w:firstLineChars="0"/>
        <w:jc w:val="center"/>
        <w:textAlignment w:val="auto"/>
        <w:rPr>
          <w:rFonts w:hint="eastAsia" w:ascii="宋体" w:hAnsi="宋体" w:eastAsia="宋体" w:cstheme="minorBidi"/>
          <w:b/>
          <w:kern w:val="2"/>
          <w:sz w:val="36"/>
          <w:szCs w:val="36"/>
          <w:lang w:val="en-US" w:eastAsia="zh-CN" w:bidi="ar-SA"/>
        </w:rPr>
      </w:pPr>
      <w:bookmarkStart w:id="70" w:name="_Toc8954"/>
      <w:bookmarkStart w:id="71" w:name="_Toc27413"/>
      <w:bookmarkStart w:id="72" w:name="_Toc12477"/>
      <w:r>
        <w:rPr>
          <w:rFonts w:hint="eastAsia" w:ascii="宋体" w:hAnsi="宋体" w:eastAsia="宋体" w:cstheme="minorBidi"/>
          <w:b/>
          <w:kern w:val="2"/>
          <w:sz w:val="36"/>
          <w:szCs w:val="36"/>
          <w:lang w:val="en-US" w:eastAsia="zh-CN" w:bidi="ar-SA"/>
        </w:rPr>
        <w:t>响应文件</w:t>
      </w:r>
      <w:bookmarkEnd w:id="70"/>
      <w:bookmarkEnd w:id="71"/>
      <w:bookmarkEnd w:id="72"/>
    </w:p>
    <w:p w14:paraId="0950256A">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73" w:name="_Toc30908"/>
      <w:bookmarkStart w:id="74" w:name="_Toc15972"/>
      <w:bookmarkStart w:id="75" w:name="_Toc32122"/>
      <w:bookmarkStart w:id="76" w:name="_Toc9698"/>
      <w:bookmarkStart w:id="77" w:name="_Toc7367"/>
      <w:bookmarkStart w:id="78" w:name="_Toc32601"/>
      <w:bookmarkStart w:id="79" w:name="_Toc1594"/>
      <w:r>
        <w:rPr>
          <w:rFonts w:hint="eastAsia"/>
          <w:lang w:val="en-US" w:eastAsia="zh-CN"/>
        </w:rPr>
        <w:t>响应文件的语言(实质性要求)</w:t>
      </w:r>
      <w:bookmarkEnd w:id="73"/>
      <w:bookmarkEnd w:id="74"/>
      <w:bookmarkEnd w:id="75"/>
      <w:bookmarkEnd w:id="76"/>
    </w:p>
    <w:p w14:paraId="1D7D5A82">
      <w:pPr>
        <w:pStyle w:val="38"/>
        <w:keepNext w:val="0"/>
        <w:keepLines w:val="0"/>
        <w:pageBreakBefore w:val="0"/>
        <w:widowControl w:val="0"/>
        <w:numPr>
          <w:ilvl w:val="1"/>
          <w:numId w:val="0"/>
        </w:numPr>
        <w:kinsoku/>
        <w:overflowPunct/>
        <w:autoSpaceDE/>
        <w:autoSpaceDN/>
        <w:bidi w:val="0"/>
        <w:snapToGrid w:val="0"/>
        <w:spacing w:line="520" w:lineRule="exact"/>
        <w:ind w:firstLine="480" w:firstLineChars="200"/>
        <w:rPr>
          <w:rFonts w:hint="eastAsia"/>
        </w:rPr>
      </w:pPr>
      <w:bookmarkStart w:id="80" w:name="_Toc21182"/>
      <w:r>
        <w:rPr>
          <w:rFonts w:hint="eastAsia"/>
          <w:lang w:val="en-US" w:eastAsia="zh-CN"/>
        </w:rPr>
        <w:t>1.供应商</w:t>
      </w:r>
      <w:r>
        <w:rPr>
          <w:rFonts w:hint="eastAsia"/>
        </w:rPr>
        <w:t>提交的</w:t>
      </w:r>
      <w:r>
        <w:rPr>
          <w:rFonts w:hint="eastAsia"/>
          <w:lang w:val="en-US" w:eastAsia="zh-CN"/>
        </w:rPr>
        <w:t>响应</w:t>
      </w:r>
      <w:r>
        <w:rPr>
          <w:rFonts w:hint="eastAsia"/>
        </w:rPr>
        <w:t>文件以及</w:t>
      </w:r>
      <w:r>
        <w:rPr>
          <w:rFonts w:hint="eastAsia"/>
          <w:lang w:val="en-US" w:eastAsia="zh-CN"/>
        </w:rPr>
        <w:t>供应商</w:t>
      </w:r>
      <w:r>
        <w:rPr>
          <w:rFonts w:hint="eastAsia"/>
        </w:rPr>
        <w:t>与招标采购单位就有关</w:t>
      </w:r>
      <w:r>
        <w:rPr>
          <w:rFonts w:hint="eastAsia"/>
          <w:lang w:val="en-US" w:eastAsia="zh-CN"/>
        </w:rPr>
        <w:t>磋商</w:t>
      </w:r>
      <w:r>
        <w:rPr>
          <w:rFonts w:hint="eastAsia"/>
        </w:rPr>
        <w:t>的所有来往书面文件均须使用中文。</w:t>
      </w:r>
      <w:r>
        <w:rPr>
          <w:rFonts w:hint="eastAsia"/>
          <w:lang w:val="en-US" w:eastAsia="zh-CN"/>
        </w:rPr>
        <w:t>响应</w:t>
      </w:r>
      <w:r>
        <w:rPr>
          <w:rFonts w:hint="eastAsia"/>
        </w:rPr>
        <w:t>文件中如附有外文资料，必须逐一对应翻译成中文并加盖</w:t>
      </w:r>
      <w:r>
        <w:rPr>
          <w:rFonts w:hint="eastAsia"/>
          <w:lang w:val="en-US" w:eastAsia="zh-CN"/>
        </w:rPr>
        <w:t>供应商</w:t>
      </w:r>
      <w:r>
        <w:rPr>
          <w:rFonts w:hint="eastAsia"/>
        </w:rPr>
        <w:t>公章后附在相关外文资料后面，否则，视为未提供该资料。对于</w:t>
      </w:r>
      <w:r>
        <w:rPr>
          <w:rFonts w:hint="eastAsia"/>
          <w:lang w:val="en-US" w:eastAsia="zh-CN"/>
        </w:rPr>
        <w:t>供应商的法定代表人为外籍人士的，法定代表人的签字和护照、</w:t>
      </w:r>
      <w:r>
        <w:rPr>
          <w:rFonts w:hint="eastAsia"/>
        </w:rPr>
        <w:t>行业标准、国家标准、国际标准或行业认证等需要以非中文表述且不宜翻译为中文的除外。</w:t>
      </w:r>
    </w:p>
    <w:p w14:paraId="3F9F9C07">
      <w:pPr>
        <w:pStyle w:val="38"/>
        <w:keepNext w:val="0"/>
        <w:keepLines w:val="0"/>
        <w:pageBreakBefore w:val="0"/>
        <w:widowControl w:val="0"/>
        <w:numPr>
          <w:ilvl w:val="1"/>
          <w:numId w:val="0"/>
        </w:numPr>
        <w:kinsoku/>
        <w:overflowPunct/>
        <w:autoSpaceDE/>
        <w:autoSpaceDN/>
        <w:bidi w:val="0"/>
        <w:snapToGrid w:val="0"/>
        <w:spacing w:line="520" w:lineRule="exact"/>
        <w:ind w:firstLine="480" w:firstLineChars="200"/>
        <w:rPr>
          <w:rFonts w:hint="eastAsia"/>
          <w:lang w:val="en-US" w:eastAsia="zh-CN"/>
        </w:rPr>
      </w:pPr>
      <w:r>
        <w:rPr>
          <w:rFonts w:hint="eastAsia"/>
          <w:lang w:val="en-US" w:eastAsia="zh-CN"/>
        </w:rPr>
        <w:t>2.翻译的中文资料与外文资料如果出现差异和矛盾时，以中文为准。涉嫌提供虚假材料的按照相关法律法规处理。</w:t>
      </w:r>
    </w:p>
    <w:p w14:paraId="1F072DD9">
      <w:pPr>
        <w:pStyle w:val="38"/>
        <w:keepNext w:val="0"/>
        <w:keepLines w:val="0"/>
        <w:pageBreakBefore w:val="0"/>
        <w:widowControl w:val="0"/>
        <w:numPr>
          <w:ilvl w:val="1"/>
          <w:numId w:val="0"/>
        </w:numPr>
        <w:kinsoku/>
        <w:overflowPunct/>
        <w:autoSpaceDE/>
        <w:autoSpaceDN/>
        <w:bidi w:val="0"/>
        <w:snapToGrid w:val="0"/>
        <w:spacing w:line="520" w:lineRule="exact"/>
        <w:ind w:firstLine="480" w:firstLineChars="200"/>
        <w:rPr>
          <w:rFonts w:hint="eastAsia"/>
          <w:lang w:val="en-US" w:eastAsia="zh-CN"/>
        </w:rPr>
      </w:pPr>
      <w:r>
        <w:rPr>
          <w:rFonts w:hint="eastAsia"/>
          <w:lang w:val="en-US" w:eastAsia="zh-CN"/>
        </w:rPr>
        <w:t>3.如因未翻译而造成对供应商的不利后果，由供应商承担。</w:t>
      </w:r>
    </w:p>
    <w:p w14:paraId="6455D9ED">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81" w:name="_Toc8134"/>
      <w:bookmarkStart w:id="82" w:name="_Toc11043"/>
      <w:bookmarkStart w:id="83" w:name="_Toc6940"/>
      <w:r>
        <w:rPr>
          <w:rFonts w:hint="eastAsia"/>
          <w:lang w:val="en-US" w:eastAsia="zh-CN"/>
        </w:rPr>
        <w:t>计量单位(实质性要求)</w:t>
      </w:r>
      <w:bookmarkEnd w:id="80"/>
      <w:bookmarkEnd w:id="81"/>
      <w:bookmarkEnd w:id="82"/>
      <w:bookmarkEnd w:id="83"/>
    </w:p>
    <w:p w14:paraId="34F95140">
      <w:pPr>
        <w:pStyle w:val="51"/>
        <w:keepNext w:val="0"/>
        <w:keepLines w:val="0"/>
        <w:pageBreakBefore w:val="0"/>
        <w:widowControl w:val="0"/>
        <w:kinsoku/>
        <w:overflowPunct/>
        <w:autoSpaceDE/>
        <w:autoSpaceDN/>
        <w:bidi w:val="0"/>
        <w:snapToGrid w:val="0"/>
        <w:spacing w:line="520" w:lineRule="exact"/>
        <w:rPr>
          <w:rFonts w:hint="eastAsia"/>
          <w:lang w:eastAsia="zh-CN"/>
        </w:rPr>
      </w:pPr>
      <w:r>
        <w:rPr>
          <w:rFonts w:hint="eastAsia"/>
        </w:rPr>
        <w:t>除</w:t>
      </w:r>
      <w:r>
        <w:rPr>
          <w:rFonts w:hint="eastAsia"/>
          <w:lang w:val="en-US" w:eastAsia="zh-CN"/>
        </w:rPr>
        <w:t>采购需求</w:t>
      </w:r>
      <w:r>
        <w:rPr>
          <w:rFonts w:hint="eastAsia"/>
        </w:rPr>
        <w:t>中另有规定外，本采购项下的</w:t>
      </w:r>
      <w:r>
        <w:rPr>
          <w:rFonts w:hint="eastAsia"/>
          <w:lang w:val="en-US" w:eastAsia="zh-CN"/>
        </w:rPr>
        <w:t>磋商</w:t>
      </w:r>
      <w:r>
        <w:rPr>
          <w:rFonts w:hint="eastAsia"/>
        </w:rPr>
        <w:t>均采用国家法定的计量单位</w:t>
      </w:r>
      <w:r>
        <w:rPr>
          <w:rFonts w:hint="eastAsia"/>
          <w:lang w:eastAsia="zh-CN"/>
        </w:rPr>
        <w:t>。</w:t>
      </w:r>
    </w:p>
    <w:p w14:paraId="258D072D">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84" w:name="_Toc7460"/>
      <w:bookmarkStart w:id="85" w:name="_Toc26768"/>
      <w:bookmarkStart w:id="86" w:name="_Toc27439"/>
      <w:bookmarkStart w:id="87" w:name="_Toc9568"/>
      <w:r>
        <w:rPr>
          <w:rFonts w:hint="eastAsia"/>
          <w:lang w:val="en-US" w:eastAsia="zh-CN"/>
        </w:rPr>
        <w:t>知识产权(实质性要求)</w:t>
      </w:r>
      <w:bookmarkEnd w:id="84"/>
      <w:bookmarkEnd w:id="85"/>
      <w:bookmarkEnd w:id="86"/>
      <w:bookmarkEnd w:id="87"/>
    </w:p>
    <w:p w14:paraId="2751559A">
      <w:pPr>
        <w:pStyle w:val="69"/>
        <w:keepNext w:val="0"/>
        <w:keepLines w:val="0"/>
        <w:pageBreakBefore w:val="0"/>
        <w:widowControl w:val="0"/>
        <w:kinsoku/>
        <w:overflowPunct/>
        <w:autoSpaceDE/>
        <w:autoSpaceDN/>
        <w:bidi w:val="0"/>
        <w:spacing w:line="520" w:lineRule="exact"/>
      </w:pPr>
      <w:bookmarkStart w:id="88" w:name="_Toc23820"/>
      <w:r>
        <w:rPr>
          <w:rFonts w:hint="eastAsia"/>
          <w:lang w:val="en-US" w:eastAsia="zh-CN"/>
        </w:rPr>
        <w:t>供应商</w:t>
      </w:r>
      <w:r>
        <w:rPr>
          <w:rFonts w:hint="eastAsia"/>
        </w:rPr>
        <w:t>在本项目使用任何产品和服务(包括部分使用)时，不会产生因第三方提出侵犯其专利权、商标权或其它知识产权而引起的法律和经济纠纷，如因专利权、商标权或其它知识产权而引起法律和经济纠纷，由</w:t>
      </w:r>
      <w:r>
        <w:rPr>
          <w:rFonts w:hint="eastAsia"/>
          <w:lang w:val="en-US" w:eastAsia="zh-CN"/>
        </w:rPr>
        <w:t>供应商</w:t>
      </w:r>
      <w:r>
        <w:rPr>
          <w:rFonts w:hint="eastAsia"/>
        </w:rPr>
        <w:t>承担所有相关责任。</w:t>
      </w:r>
    </w:p>
    <w:p w14:paraId="4D1B035C">
      <w:pPr>
        <w:pStyle w:val="69"/>
        <w:keepNext w:val="0"/>
        <w:keepLines w:val="0"/>
        <w:pageBreakBefore w:val="0"/>
        <w:widowControl w:val="0"/>
        <w:kinsoku/>
        <w:overflowPunct/>
        <w:autoSpaceDE/>
        <w:autoSpaceDN/>
        <w:bidi w:val="0"/>
        <w:spacing w:line="520" w:lineRule="exact"/>
      </w:pPr>
      <w:r>
        <w:rPr>
          <w:rFonts w:hint="eastAsia" w:ascii="宋体" w:hAnsi="宋体" w:eastAsia="宋体" w:cs="宋体"/>
          <w:sz w:val="24"/>
          <w:szCs w:val="24"/>
          <w:lang w:val="en-US" w:eastAsia="zh-Hans"/>
        </w:rPr>
        <w:t>采购人享有本项目实施过程中产生的知识成果及知识产权，并依据实际情况对采购标的涉及的知识产权进行处理</w:t>
      </w:r>
      <w:r>
        <w:rPr>
          <w:rFonts w:hint="eastAsia"/>
        </w:rPr>
        <w:t>。</w:t>
      </w:r>
    </w:p>
    <w:p w14:paraId="4ED1D69E">
      <w:pPr>
        <w:pStyle w:val="69"/>
        <w:keepNext w:val="0"/>
        <w:keepLines w:val="0"/>
        <w:pageBreakBefore w:val="0"/>
        <w:widowControl w:val="0"/>
        <w:kinsoku/>
        <w:overflowPunct/>
        <w:autoSpaceDE/>
        <w:autoSpaceDN/>
        <w:bidi w:val="0"/>
        <w:spacing w:line="520" w:lineRule="exact"/>
      </w:pPr>
      <w:r>
        <w:rPr>
          <w:rFonts w:hint="eastAsia" w:ascii="宋体" w:hAnsi="宋体" w:eastAsia="宋体" w:cs="宋体"/>
          <w:sz w:val="24"/>
          <w:szCs w:val="24"/>
          <w:lang w:val="en-US" w:eastAsia="zh-CN"/>
        </w:rPr>
        <w:t>供应商</w:t>
      </w:r>
      <w:r>
        <w:rPr>
          <w:rFonts w:hint="eastAsia" w:ascii="宋体" w:hAnsi="宋体" w:eastAsia="宋体" w:cs="宋体"/>
          <w:sz w:val="24"/>
          <w:szCs w:val="24"/>
          <w:lang w:val="en-US" w:eastAsia="zh-Hans"/>
        </w:rPr>
        <w:t>如欲在项目实施过程中采用自有知识成果，需提供相关技术文档，并承诺提供无限期技术支持，采购人享有永久使用权</w:t>
      </w:r>
      <w:r>
        <w:rPr>
          <w:rFonts w:hint="eastAsia" w:ascii="宋体" w:hAnsi="宋体" w:eastAsia="宋体" w:cs="宋体"/>
          <w:sz w:val="24"/>
          <w:szCs w:val="24"/>
          <w:lang w:val="en-US" w:eastAsia="zh-CN"/>
        </w:rPr>
        <w:t>，且</w:t>
      </w:r>
      <w:r>
        <w:rPr>
          <w:rFonts w:hint="eastAsia" w:ascii="宋体" w:hAnsi="宋体" w:eastAsia="宋体" w:cs="宋体"/>
          <w:sz w:val="24"/>
          <w:szCs w:val="24"/>
          <w:lang w:val="en-US" w:eastAsia="zh-Hans"/>
        </w:rPr>
        <w:t>不承担该知识产权的相关费用</w:t>
      </w:r>
      <w:r>
        <w:rPr>
          <w:rFonts w:hint="eastAsia" w:ascii="宋体" w:hAnsi="宋体" w:eastAsia="宋体" w:cs="宋体"/>
          <w:sz w:val="24"/>
          <w:szCs w:val="24"/>
          <w:lang w:val="en-US" w:eastAsia="zh-CN"/>
        </w:rPr>
        <w:t>。</w:t>
      </w:r>
      <w:r>
        <w:t>否则视为</w:t>
      </w:r>
      <w:r>
        <w:rPr>
          <w:rFonts w:hint="eastAsia"/>
          <w:lang w:val="en-US" w:eastAsia="zh-CN"/>
        </w:rPr>
        <w:t>供应商</w:t>
      </w:r>
      <w:r>
        <w:t>未在本项目实施过程中采用自有知识成果，不影响有效性</w:t>
      </w:r>
      <w:r>
        <w:rPr>
          <w:rFonts w:hint="eastAsia"/>
        </w:rPr>
        <w:t>。</w:t>
      </w:r>
    </w:p>
    <w:p w14:paraId="575A3DFF">
      <w:pPr>
        <w:pStyle w:val="69"/>
        <w:keepNext w:val="0"/>
        <w:keepLines w:val="0"/>
        <w:pageBreakBefore w:val="0"/>
        <w:widowControl w:val="0"/>
        <w:kinsoku/>
        <w:overflowPunct/>
        <w:autoSpaceDE/>
        <w:autoSpaceDN/>
        <w:bidi w:val="0"/>
        <w:spacing w:line="520" w:lineRule="exact"/>
      </w:pPr>
      <w:r>
        <w:rPr>
          <w:rFonts w:hint="eastAsia" w:ascii="宋体" w:hAnsi="宋体" w:eastAsia="宋体" w:cs="宋体"/>
          <w:sz w:val="24"/>
          <w:szCs w:val="24"/>
          <w:lang w:val="en-US" w:eastAsia="zh-Hans"/>
        </w:rPr>
        <w:t>如采用</w:t>
      </w:r>
      <w:r>
        <w:rPr>
          <w:rFonts w:hint="eastAsia" w:ascii="宋体" w:hAnsi="宋体" w:eastAsia="宋体" w:cs="宋体"/>
          <w:sz w:val="24"/>
          <w:szCs w:val="24"/>
          <w:lang w:val="en-US" w:eastAsia="zh-CN"/>
        </w:rPr>
        <w:t>供应商</w:t>
      </w:r>
      <w:r>
        <w:rPr>
          <w:rFonts w:hint="eastAsia" w:ascii="宋体" w:hAnsi="宋体" w:eastAsia="宋体" w:cs="宋体"/>
          <w:sz w:val="24"/>
          <w:szCs w:val="24"/>
          <w:lang w:val="en-US" w:eastAsia="zh-Hans"/>
        </w:rPr>
        <w:t>所不拥有的知识产权，仍需提供相关技术文档，并承诺提供无限期技术支持，采购人享有永久合法使用的使用权，且不承担该知识产权的相关费用</w:t>
      </w:r>
      <w:r>
        <w:rPr>
          <w:rFonts w:hint="eastAsia" w:ascii="宋体" w:hAnsi="宋体" w:eastAsia="宋体" w:cs="宋体"/>
          <w:sz w:val="24"/>
          <w:szCs w:val="24"/>
          <w:lang w:val="en-US" w:eastAsia="zh-CN"/>
        </w:rPr>
        <w:t>。</w:t>
      </w:r>
    </w:p>
    <w:p w14:paraId="79E71148">
      <w:pPr>
        <w:pStyle w:val="69"/>
        <w:keepNext w:val="0"/>
        <w:keepLines w:val="0"/>
        <w:pageBreakBefore w:val="0"/>
        <w:widowControl w:val="0"/>
        <w:kinsoku/>
        <w:overflowPunct/>
        <w:autoSpaceDE/>
        <w:autoSpaceDN/>
        <w:bidi w:val="0"/>
        <w:spacing w:line="520" w:lineRule="exact"/>
      </w:pPr>
      <w:r>
        <w:rPr>
          <w:rFonts w:hint="eastAsia" w:ascii="宋体" w:hAnsi="宋体" w:eastAsia="宋体" w:cs="宋体"/>
          <w:sz w:val="24"/>
          <w:szCs w:val="24"/>
          <w:lang w:val="en-US" w:eastAsia="zh-Hans"/>
        </w:rPr>
        <w:t>若项目实施过程形成了新的技术成果或知识产权</w:t>
      </w:r>
      <w:r>
        <w:rPr>
          <w:rFonts w:hint="eastAsia" w:cs="宋体"/>
          <w:sz w:val="24"/>
          <w:szCs w:val="24"/>
          <w:lang w:val="en-US" w:eastAsia="zh-CN"/>
        </w:rPr>
        <w:t>(</w:t>
      </w:r>
      <w:r>
        <w:rPr>
          <w:rFonts w:hint="eastAsia" w:ascii="宋体" w:hAnsi="宋体" w:eastAsia="宋体" w:cs="宋体"/>
          <w:sz w:val="24"/>
          <w:szCs w:val="24"/>
          <w:lang w:val="en-US" w:eastAsia="zh-Hans"/>
        </w:rPr>
        <w:t>包括但不限于新开发的计算机软件、在原有软件基础上修改软件架构或增加新功能等技术改进、新功能开发过程中形成的技术文件等</w:t>
      </w:r>
      <w:r>
        <w:rPr>
          <w:rFonts w:hint="eastAsia" w:cs="宋体"/>
          <w:sz w:val="24"/>
          <w:szCs w:val="24"/>
          <w:lang w:val="en-US" w:eastAsia="zh-CN"/>
        </w:rPr>
        <w:t>)</w:t>
      </w:r>
      <w:r>
        <w:rPr>
          <w:rFonts w:hint="eastAsia" w:ascii="宋体" w:hAnsi="宋体" w:eastAsia="宋体" w:cs="宋体"/>
          <w:sz w:val="24"/>
          <w:szCs w:val="24"/>
          <w:lang w:val="en-US" w:eastAsia="zh-Hans"/>
        </w:rPr>
        <w:t>，应由采购人和</w:t>
      </w:r>
      <w:r>
        <w:rPr>
          <w:rFonts w:hint="eastAsia" w:ascii="宋体" w:hAnsi="宋体" w:eastAsia="宋体" w:cs="宋体"/>
          <w:sz w:val="24"/>
          <w:szCs w:val="24"/>
          <w:lang w:val="en-US" w:eastAsia="zh-CN"/>
        </w:rPr>
        <w:t>供应商</w:t>
      </w:r>
      <w:r>
        <w:rPr>
          <w:rFonts w:hint="eastAsia" w:ascii="宋体" w:hAnsi="宋体" w:eastAsia="宋体" w:cs="宋体"/>
          <w:sz w:val="24"/>
          <w:szCs w:val="24"/>
          <w:lang w:val="en-US" w:eastAsia="zh-Hans"/>
        </w:rPr>
        <w:t>共同所有前述科技成果权利或知识产权，</w:t>
      </w:r>
      <w:r>
        <w:rPr>
          <w:rFonts w:hint="eastAsia" w:ascii="宋体" w:hAnsi="宋体" w:eastAsia="宋体" w:cs="宋体"/>
          <w:sz w:val="24"/>
          <w:szCs w:val="24"/>
          <w:lang w:val="en-US" w:eastAsia="zh-CN"/>
        </w:rPr>
        <w:t>供应商</w:t>
      </w:r>
      <w:r>
        <w:rPr>
          <w:rFonts w:hint="eastAsia" w:ascii="宋体" w:hAnsi="宋体" w:eastAsia="宋体" w:cs="宋体"/>
          <w:sz w:val="24"/>
          <w:szCs w:val="24"/>
          <w:lang w:val="en-US" w:eastAsia="zh-Hans"/>
        </w:rPr>
        <w:t>承诺采购人享有前述成果权利或知识产权永久合法使用的使用权，且</w:t>
      </w:r>
      <w:r>
        <w:rPr>
          <w:rFonts w:hint="eastAsia" w:ascii="宋体" w:hAnsi="宋体" w:eastAsia="宋体" w:cs="宋体"/>
          <w:sz w:val="24"/>
          <w:szCs w:val="24"/>
          <w:lang w:val="en-US" w:eastAsia="zh-CN"/>
        </w:rPr>
        <w:t>供应商</w:t>
      </w:r>
      <w:r>
        <w:rPr>
          <w:rFonts w:hint="eastAsia" w:ascii="宋体" w:hAnsi="宋体" w:eastAsia="宋体" w:cs="宋体"/>
          <w:sz w:val="24"/>
          <w:szCs w:val="24"/>
          <w:lang w:val="en-US" w:eastAsia="zh-Hans"/>
        </w:rPr>
        <w:t>承诺额外承担任何与之有关的费用</w:t>
      </w:r>
      <w:r>
        <w:rPr>
          <w:rFonts w:hint="eastAsia"/>
          <w:lang w:eastAsia="zh-CN"/>
        </w:rPr>
        <w:t>。</w:t>
      </w:r>
    </w:p>
    <w:p w14:paraId="1C4AAC7D">
      <w:pPr>
        <w:pStyle w:val="69"/>
        <w:keepNext w:val="0"/>
        <w:keepLines w:val="0"/>
        <w:pageBreakBefore w:val="0"/>
        <w:widowControl w:val="0"/>
        <w:kinsoku/>
        <w:overflowPunct/>
        <w:autoSpaceDE/>
        <w:autoSpaceDN/>
        <w:bidi w:val="0"/>
        <w:spacing w:line="520" w:lineRule="exact"/>
      </w:pPr>
      <w:r>
        <w:rPr>
          <w:rFonts w:hint="eastAsia"/>
        </w:rPr>
        <w:t>如采用</w:t>
      </w:r>
      <w:r>
        <w:rPr>
          <w:rFonts w:hint="eastAsia"/>
          <w:lang w:val="en-US" w:eastAsia="zh-CN"/>
        </w:rPr>
        <w:t>供应商</w:t>
      </w:r>
      <w:r>
        <w:rPr>
          <w:rFonts w:hint="eastAsia"/>
        </w:rPr>
        <w:t>所不拥有的知识产权，则在</w:t>
      </w:r>
      <w:r>
        <w:rPr>
          <w:rFonts w:hint="eastAsia"/>
          <w:lang w:val="en-US" w:eastAsia="zh-CN"/>
        </w:rPr>
        <w:t>磋商</w:t>
      </w:r>
      <w:r>
        <w:rPr>
          <w:rFonts w:hint="eastAsia"/>
        </w:rPr>
        <w:t xml:space="preserve">报价中必须包括合法获取该知识产权的相关费用。 </w:t>
      </w:r>
    </w:p>
    <w:p w14:paraId="4653EE28">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89" w:name="_Toc32473"/>
      <w:bookmarkStart w:id="90" w:name="_Toc18897"/>
      <w:bookmarkStart w:id="91" w:name="_Toc25494"/>
      <w:r>
        <w:rPr>
          <w:rFonts w:hint="eastAsia"/>
          <w:lang w:val="en-US" w:eastAsia="zh-CN"/>
        </w:rPr>
        <w:t>响应文件格式要求</w:t>
      </w:r>
      <w:bookmarkEnd w:id="88"/>
      <w:bookmarkEnd w:id="89"/>
      <w:bookmarkEnd w:id="90"/>
      <w:bookmarkEnd w:id="91"/>
    </w:p>
    <w:p w14:paraId="1B1CA71F">
      <w:pPr>
        <w:pStyle w:val="38"/>
        <w:keepNext w:val="0"/>
        <w:keepLines w:val="0"/>
        <w:pageBreakBefore w:val="0"/>
        <w:widowControl w:val="0"/>
        <w:numPr>
          <w:ilvl w:val="1"/>
          <w:numId w:val="0"/>
        </w:numPr>
        <w:kinsoku/>
        <w:overflowPunct/>
        <w:autoSpaceDE/>
        <w:autoSpaceDN/>
        <w:bidi w:val="0"/>
        <w:snapToGrid w:val="0"/>
        <w:spacing w:line="520" w:lineRule="exact"/>
        <w:ind w:leftChars="200"/>
        <w:rPr>
          <w:rFonts w:hint="eastAsia"/>
        </w:rPr>
      </w:pPr>
      <w:bookmarkStart w:id="92" w:name="_Toc13765"/>
      <w:r>
        <w:rPr>
          <w:rFonts w:hint="eastAsia"/>
          <w:lang w:val="en-US" w:eastAsia="zh-CN"/>
        </w:rPr>
        <w:t>1.供应商</w:t>
      </w:r>
      <w:r>
        <w:rPr>
          <w:rFonts w:hint="eastAsia"/>
        </w:rPr>
        <w:t>应按照</w:t>
      </w:r>
      <w:r>
        <w:rPr>
          <w:rFonts w:hint="eastAsia"/>
          <w:lang w:val="en-US" w:eastAsia="zh-CN"/>
        </w:rPr>
        <w:t>磋</w:t>
      </w:r>
      <w:r>
        <w:rPr>
          <w:rFonts w:hint="eastAsia"/>
          <w:highlight w:val="none"/>
          <w:lang w:val="en-US" w:eastAsia="zh-CN"/>
        </w:rPr>
        <w:t>商</w:t>
      </w:r>
      <w:r>
        <w:rPr>
          <w:rFonts w:hint="eastAsia"/>
          <w:highlight w:val="none"/>
        </w:rPr>
        <w:t>文件第</w:t>
      </w:r>
      <w:r>
        <w:rPr>
          <w:rFonts w:hint="eastAsia"/>
          <w:highlight w:val="none"/>
          <w:lang w:val="en-US" w:eastAsia="zh-CN"/>
        </w:rPr>
        <w:t>三</w:t>
      </w:r>
      <w:r>
        <w:rPr>
          <w:rFonts w:hint="eastAsia"/>
          <w:highlight w:val="none"/>
        </w:rPr>
        <w:t>章中</w:t>
      </w:r>
      <w:r>
        <w:rPr>
          <w:rFonts w:hint="eastAsia"/>
        </w:rPr>
        <w:t>提供的“</w:t>
      </w:r>
      <w:r>
        <w:rPr>
          <w:rFonts w:hint="eastAsia"/>
          <w:lang w:val="en-US" w:eastAsia="zh-CN"/>
        </w:rPr>
        <w:t>响应</w:t>
      </w:r>
      <w:r>
        <w:rPr>
          <w:rFonts w:hint="eastAsia"/>
        </w:rPr>
        <w:t>文件格式”</w:t>
      </w:r>
      <w:r>
        <w:rPr>
          <w:rFonts w:hint="eastAsia"/>
          <w:lang w:val="en-US" w:eastAsia="zh-CN"/>
        </w:rPr>
        <w:t>编制</w:t>
      </w:r>
      <w:r>
        <w:rPr>
          <w:rFonts w:hint="eastAsia"/>
        </w:rPr>
        <w:t>相关内容。</w:t>
      </w:r>
    </w:p>
    <w:p w14:paraId="15A6CA61">
      <w:pPr>
        <w:pStyle w:val="38"/>
        <w:keepNext w:val="0"/>
        <w:keepLines w:val="0"/>
        <w:pageBreakBefore w:val="0"/>
        <w:widowControl w:val="0"/>
        <w:numPr>
          <w:ilvl w:val="1"/>
          <w:numId w:val="0"/>
        </w:numPr>
        <w:kinsoku/>
        <w:overflowPunct/>
        <w:autoSpaceDE/>
        <w:autoSpaceDN/>
        <w:bidi w:val="0"/>
        <w:snapToGrid w:val="0"/>
        <w:spacing w:line="520" w:lineRule="exact"/>
        <w:ind w:leftChars="200"/>
        <w:rPr>
          <w:rFonts w:hint="eastAsia"/>
          <w:lang w:val="en-US" w:eastAsia="zh-CN"/>
        </w:rPr>
      </w:pPr>
      <w:r>
        <w:rPr>
          <w:rFonts w:hint="eastAsia"/>
          <w:lang w:val="en-US" w:eastAsia="zh-CN"/>
        </w:rPr>
        <w:t>2.对于磋商文件没有格式要求的由供应商自行编写。</w:t>
      </w:r>
    </w:p>
    <w:bookmarkEnd w:id="92"/>
    <w:p w14:paraId="7D6B731F">
      <w:pPr>
        <w:pStyle w:val="55"/>
        <w:keepNext w:val="0"/>
        <w:keepLines w:val="0"/>
        <w:pageBreakBefore w:val="0"/>
        <w:widowControl w:val="0"/>
        <w:kinsoku/>
        <w:overflowPunct/>
        <w:autoSpaceDE/>
        <w:autoSpaceDN/>
        <w:bidi w:val="0"/>
        <w:snapToGrid w:val="0"/>
        <w:spacing w:line="520" w:lineRule="exact"/>
        <w:rPr>
          <w:rFonts w:hint="eastAsia"/>
          <w:color w:val="auto"/>
          <w:lang w:val="en-US" w:eastAsia="zh-CN"/>
        </w:rPr>
      </w:pPr>
      <w:bookmarkStart w:id="93" w:name="_Toc16657"/>
      <w:bookmarkStart w:id="94" w:name="_Toc20801"/>
      <w:bookmarkStart w:id="95" w:name="_Toc9231"/>
      <w:bookmarkStart w:id="96" w:name="_Toc28963"/>
      <w:r>
        <w:rPr>
          <w:rFonts w:hint="eastAsia"/>
          <w:color w:val="auto"/>
          <w:lang w:val="en-US" w:eastAsia="zh-CN"/>
        </w:rPr>
        <w:t>联合体磋商</w:t>
      </w:r>
      <w:bookmarkEnd w:id="93"/>
      <w:r>
        <w:rPr>
          <w:rFonts w:hint="eastAsia"/>
          <w:color w:val="auto"/>
          <w:lang w:val="zh-CN" w:eastAsia="zh-CN"/>
        </w:rPr>
        <w:t>(实质性要求)</w:t>
      </w:r>
      <w:bookmarkEnd w:id="94"/>
      <w:bookmarkEnd w:id="95"/>
      <w:bookmarkEnd w:id="96"/>
    </w:p>
    <w:p w14:paraId="53F59728">
      <w:pPr>
        <w:pStyle w:val="48"/>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color w:val="FF0000"/>
          <w:highlight w:val="none"/>
          <w:lang w:val="en-US" w:eastAsia="zh-CN"/>
        </w:rPr>
      </w:pPr>
      <w:r>
        <w:rPr>
          <w:rFonts w:hint="eastAsia"/>
          <w:lang w:val="en-US" w:eastAsia="zh-CN"/>
        </w:rPr>
        <w:t>本项目不接受联合体参加本次采购活动。</w:t>
      </w:r>
      <w:bookmarkStart w:id="97" w:name="_Toc24757"/>
      <w:bookmarkStart w:id="98" w:name="_Toc25526"/>
    </w:p>
    <w:p w14:paraId="7A8A3B43">
      <w:pPr>
        <w:pStyle w:val="55"/>
        <w:keepNext w:val="0"/>
        <w:keepLines w:val="0"/>
        <w:pageBreakBefore w:val="0"/>
        <w:widowControl w:val="0"/>
        <w:kinsoku/>
        <w:overflowPunct/>
        <w:autoSpaceDE/>
        <w:autoSpaceDN/>
        <w:bidi w:val="0"/>
        <w:snapToGrid w:val="0"/>
        <w:spacing w:line="520" w:lineRule="exact"/>
        <w:rPr>
          <w:rFonts w:hint="eastAsia"/>
        </w:rPr>
      </w:pPr>
      <w:bookmarkStart w:id="99" w:name="_Toc19157"/>
      <w:bookmarkStart w:id="100" w:name="_Toc22368"/>
      <w:r>
        <w:rPr>
          <w:rFonts w:hint="eastAsia"/>
        </w:rPr>
        <w:t>响应</w:t>
      </w:r>
      <w:r>
        <w:rPr>
          <w:rFonts w:hint="eastAsia"/>
          <w:lang w:val="en-US" w:eastAsia="zh-CN"/>
        </w:rPr>
        <w:t>文件</w:t>
      </w:r>
      <w:bookmarkEnd w:id="77"/>
      <w:bookmarkEnd w:id="78"/>
      <w:bookmarkEnd w:id="79"/>
      <w:r>
        <w:rPr>
          <w:rFonts w:hint="eastAsia"/>
          <w:lang w:val="en-US" w:eastAsia="zh-CN"/>
        </w:rPr>
        <w:t>组成</w:t>
      </w:r>
      <w:r>
        <w:rPr>
          <w:rFonts w:hint="eastAsia"/>
          <w:lang w:eastAsia="zh-CN"/>
        </w:rPr>
        <w:t>(</w:t>
      </w:r>
      <w:r>
        <w:rPr>
          <w:rFonts w:hint="eastAsia"/>
          <w:lang w:val="en-US" w:eastAsia="zh-CN"/>
        </w:rPr>
        <w:t>实质性要求</w:t>
      </w:r>
      <w:r>
        <w:rPr>
          <w:rFonts w:hint="eastAsia"/>
          <w:lang w:eastAsia="zh-CN"/>
        </w:rPr>
        <w:t>)</w:t>
      </w:r>
      <w:bookmarkEnd w:id="97"/>
      <w:bookmarkEnd w:id="98"/>
      <w:bookmarkEnd w:id="99"/>
      <w:bookmarkEnd w:id="100"/>
    </w:p>
    <w:p w14:paraId="760B1F48">
      <w:pPr>
        <w:pStyle w:val="69"/>
        <w:keepNext w:val="0"/>
        <w:keepLines w:val="0"/>
        <w:pageBreakBefore w:val="0"/>
        <w:widowControl w:val="0"/>
        <w:kinsoku/>
        <w:overflowPunct/>
        <w:autoSpaceDE/>
        <w:autoSpaceDN/>
        <w:bidi w:val="0"/>
        <w:snapToGrid w:val="0"/>
        <w:spacing w:line="520" w:lineRule="exact"/>
        <w:rPr>
          <w:rStyle w:val="73"/>
          <w:rFonts w:hint="eastAsia"/>
        </w:rPr>
      </w:pPr>
      <w:r>
        <w:rPr>
          <w:rStyle w:val="73"/>
          <w:rFonts w:hint="eastAsia"/>
        </w:rPr>
        <w:t>供应商须按竞争性磋商文件的要求编写响应文件，对竞争性磋商文件提出的要求和条件做出实质性响应。响应文件应包括但不限于下列内容：</w:t>
      </w:r>
    </w:p>
    <w:p w14:paraId="7C1081D8">
      <w:pPr>
        <w:pStyle w:val="41"/>
        <w:keepNext w:val="0"/>
        <w:keepLines w:val="0"/>
        <w:pageBreakBefore w:val="0"/>
        <w:widowControl w:val="0"/>
        <w:numPr>
          <w:ilvl w:val="0"/>
          <w:numId w:val="10"/>
        </w:numPr>
        <w:kinsoku/>
        <w:wordWrap w:val="0"/>
        <w:overflowPunct/>
        <w:topLinePunct/>
        <w:autoSpaceDE/>
        <w:autoSpaceDN/>
        <w:bidi w:val="0"/>
        <w:adjustRightInd/>
        <w:snapToGrid w:val="0"/>
        <w:spacing w:line="520" w:lineRule="exact"/>
        <w:ind w:left="0" w:leftChars="0" w:firstLine="480" w:firstLineChars="200"/>
        <w:textAlignment w:val="auto"/>
        <w:rPr>
          <w:rFonts w:hint="eastAsia"/>
          <w:lang w:eastAsia="zh-CN"/>
        </w:rPr>
      </w:pPr>
      <w:r>
        <w:rPr>
          <w:rFonts w:hint="eastAsia"/>
        </w:rPr>
        <w:t>文件一：</w:t>
      </w:r>
      <w:r>
        <w:rPr>
          <w:rFonts w:hint="eastAsia"/>
          <w:lang w:eastAsia="zh-CN"/>
        </w:rPr>
        <w:t>资格、资质性及其他类似效力响应文件</w:t>
      </w:r>
    </w:p>
    <w:p w14:paraId="71AF4377">
      <w:pPr>
        <w:pStyle w:val="51"/>
        <w:keepNext w:val="0"/>
        <w:keepLines w:val="0"/>
        <w:pageBreakBefore w:val="0"/>
        <w:widowControl w:val="0"/>
        <w:kinsoku/>
        <w:wordWrap w:val="0"/>
        <w:overflowPunct/>
        <w:topLinePunct/>
        <w:autoSpaceDE/>
        <w:autoSpaceDN/>
        <w:bidi w:val="0"/>
        <w:adjustRightInd/>
        <w:snapToGrid w:val="0"/>
        <w:spacing w:line="520" w:lineRule="exact"/>
        <w:ind w:left="0" w:leftChars="0" w:firstLine="480" w:firstLineChars="200"/>
        <w:textAlignment w:val="auto"/>
        <w:rPr>
          <w:rFonts w:hint="eastAsia"/>
        </w:rPr>
      </w:pPr>
      <w:r>
        <w:rPr>
          <w:rFonts w:hint="eastAsia"/>
        </w:rPr>
        <w:t>包括但不限于</w:t>
      </w:r>
      <w:r>
        <w:rPr>
          <w:rFonts w:hint="eastAsia"/>
          <w:lang w:val="en-US" w:eastAsia="zh-CN"/>
        </w:rPr>
        <w:t>竞争性</w:t>
      </w:r>
      <w:r>
        <w:rPr>
          <w:rFonts w:hint="eastAsia"/>
        </w:rPr>
        <w:t>磋商文件第</w:t>
      </w:r>
      <w:r>
        <w:rPr>
          <w:rFonts w:hint="eastAsia"/>
          <w:lang w:val="en-US" w:eastAsia="zh-CN"/>
        </w:rPr>
        <w:t>四</w:t>
      </w:r>
      <w:r>
        <w:rPr>
          <w:rFonts w:hint="eastAsia"/>
        </w:rPr>
        <w:t>章规定的资格证明材料。</w:t>
      </w:r>
    </w:p>
    <w:p w14:paraId="5B02CCE1">
      <w:pPr>
        <w:pStyle w:val="41"/>
        <w:keepNext w:val="0"/>
        <w:keepLines w:val="0"/>
        <w:pageBreakBefore w:val="0"/>
        <w:widowControl w:val="0"/>
        <w:numPr>
          <w:ilvl w:val="0"/>
          <w:numId w:val="10"/>
        </w:numPr>
        <w:kinsoku/>
        <w:wordWrap w:val="0"/>
        <w:overflowPunct/>
        <w:topLinePunct/>
        <w:autoSpaceDE/>
        <w:autoSpaceDN/>
        <w:bidi w:val="0"/>
        <w:adjustRightInd/>
        <w:snapToGrid w:val="0"/>
        <w:spacing w:line="520" w:lineRule="exact"/>
        <w:ind w:left="0" w:leftChars="0" w:firstLine="480" w:firstLineChars="200"/>
        <w:textAlignment w:val="auto"/>
        <w:rPr>
          <w:rFonts w:hint="eastAsia"/>
        </w:rPr>
      </w:pPr>
      <w:r>
        <w:rPr>
          <w:rFonts w:hint="eastAsia"/>
        </w:rPr>
        <w:t>文件二：其他响应文件</w:t>
      </w:r>
    </w:p>
    <w:p w14:paraId="22A1174A">
      <w:pPr>
        <w:pStyle w:val="51"/>
        <w:keepNext w:val="0"/>
        <w:keepLines w:val="0"/>
        <w:pageBreakBefore w:val="0"/>
        <w:widowControl w:val="0"/>
        <w:kinsoku/>
        <w:wordWrap w:val="0"/>
        <w:overflowPunct/>
        <w:topLinePunct/>
        <w:autoSpaceDE/>
        <w:autoSpaceDN/>
        <w:bidi w:val="0"/>
        <w:adjustRightInd/>
        <w:snapToGrid w:val="0"/>
        <w:spacing w:line="520" w:lineRule="exact"/>
        <w:ind w:left="0" w:leftChars="0" w:firstLine="480" w:firstLineChars="200"/>
        <w:textAlignment w:val="auto"/>
        <w:rPr>
          <w:rFonts w:hint="eastAsia"/>
        </w:rPr>
      </w:pPr>
      <w:r>
        <w:rPr>
          <w:rFonts w:hint="eastAsia"/>
        </w:rPr>
        <w:t>包括但不限于</w:t>
      </w:r>
      <w:r>
        <w:rPr>
          <w:rFonts w:hint="eastAsia"/>
          <w:lang w:val="en-US" w:eastAsia="zh-CN"/>
        </w:rPr>
        <w:t>竞争性</w:t>
      </w:r>
      <w:r>
        <w:rPr>
          <w:rFonts w:hint="eastAsia"/>
        </w:rPr>
        <w:t>磋商文件第</w:t>
      </w:r>
      <w:r>
        <w:rPr>
          <w:rFonts w:hint="eastAsia"/>
          <w:lang w:val="en-US" w:eastAsia="zh-CN"/>
        </w:rPr>
        <w:t>三</w:t>
      </w:r>
      <w:r>
        <w:rPr>
          <w:rFonts w:hint="eastAsia"/>
        </w:rPr>
        <w:t>章格式要求的内容。</w:t>
      </w:r>
    </w:p>
    <w:p w14:paraId="5AAC9718">
      <w:pPr>
        <w:pStyle w:val="69"/>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lang w:val="en-US" w:eastAsia="zh-CN"/>
        </w:rPr>
        <w:t>补充、修改的内容作为响应文件的组成部分。</w:t>
      </w:r>
    </w:p>
    <w:p w14:paraId="715135CE">
      <w:pPr>
        <w:pStyle w:val="69"/>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lang w:val="en-US" w:eastAsia="zh-CN"/>
        </w:rPr>
        <w:t>最后报价是供应商响应文件的有效组成部分。</w:t>
      </w:r>
    </w:p>
    <w:p w14:paraId="717B5FC0">
      <w:pPr>
        <w:pStyle w:val="55"/>
        <w:keepNext w:val="0"/>
        <w:keepLines w:val="0"/>
        <w:pageBreakBefore w:val="0"/>
        <w:widowControl w:val="0"/>
        <w:kinsoku/>
        <w:overflowPunct/>
        <w:autoSpaceDE/>
        <w:autoSpaceDN/>
        <w:bidi w:val="0"/>
        <w:snapToGrid w:val="0"/>
        <w:spacing w:line="520" w:lineRule="exact"/>
        <w:rPr>
          <w:rFonts w:hint="eastAsia"/>
        </w:rPr>
      </w:pPr>
      <w:bookmarkStart w:id="101" w:name="_Toc8102"/>
      <w:bookmarkStart w:id="102" w:name="_Toc4939"/>
      <w:bookmarkStart w:id="103" w:name="_Toc2322"/>
      <w:bookmarkStart w:id="104" w:name="_Toc11946"/>
      <w:bookmarkStart w:id="105" w:name="_Toc11825"/>
      <w:bookmarkStart w:id="106" w:name="_Toc24876"/>
      <w:bookmarkStart w:id="107" w:name="_Toc30559"/>
      <w:r>
        <w:rPr>
          <w:rFonts w:hint="eastAsia"/>
          <w:lang w:val="en-US" w:eastAsia="zh-CN"/>
        </w:rPr>
        <w:t>报</w:t>
      </w:r>
      <w:r>
        <w:rPr>
          <w:rFonts w:hint="eastAsia"/>
        </w:rPr>
        <w:t>价</w:t>
      </w:r>
      <w:bookmarkEnd w:id="101"/>
      <w:bookmarkEnd w:id="102"/>
      <w:bookmarkEnd w:id="103"/>
      <w:r>
        <w:rPr>
          <w:rFonts w:hint="eastAsia"/>
          <w:lang w:val="en-US" w:eastAsia="zh-CN"/>
        </w:rPr>
        <w:t>要求</w:t>
      </w:r>
      <w:r>
        <w:rPr>
          <w:rFonts w:hint="eastAsia"/>
          <w:lang w:eastAsia="zh-CN"/>
        </w:rPr>
        <w:t>(</w:t>
      </w:r>
      <w:r>
        <w:rPr>
          <w:rFonts w:hint="eastAsia"/>
          <w:lang w:val="en-US" w:eastAsia="zh-CN"/>
        </w:rPr>
        <w:t>实质性要求</w:t>
      </w:r>
      <w:r>
        <w:rPr>
          <w:rFonts w:hint="eastAsia"/>
          <w:lang w:eastAsia="zh-CN"/>
        </w:rPr>
        <w:t>)</w:t>
      </w:r>
      <w:bookmarkEnd w:id="104"/>
      <w:bookmarkEnd w:id="105"/>
      <w:bookmarkEnd w:id="106"/>
      <w:bookmarkEnd w:id="107"/>
    </w:p>
    <w:p w14:paraId="308C98B8">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所有报价</w:t>
      </w:r>
      <w:r>
        <w:rPr>
          <w:rFonts w:hint="eastAsia"/>
          <w:lang w:val="en-US" w:eastAsia="zh-CN"/>
        </w:rPr>
        <w:t>货币</w:t>
      </w:r>
      <w:r>
        <w:rPr>
          <w:rFonts w:hint="eastAsia"/>
        </w:rPr>
        <w:t>一律以人民币报价。采购人不接受任何非人民币币种的报价。</w:t>
      </w:r>
    </w:p>
    <w:p w14:paraId="7192A226">
      <w:pPr>
        <w:pStyle w:val="69"/>
        <w:keepNext w:val="0"/>
        <w:keepLines w:val="0"/>
        <w:pageBreakBefore w:val="0"/>
        <w:widowControl w:val="0"/>
        <w:kinsoku/>
        <w:overflowPunct/>
        <w:autoSpaceDE/>
        <w:autoSpaceDN/>
        <w:bidi w:val="0"/>
        <w:snapToGrid w:val="0"/>
        <w:spacing w:line="520" w:lineRule="exact"/>
        <w:rPr>
          <w:rFonts w:hint="eastAsia"/>
          <w:b/>
          <w:bCs/>
        </w:rPr>
      </w:pPr>
      <w:r>
        <w:rPr>
          <w:rFonts w:hint="eastAsia"/>
          <w:b/>
          <w:bCs/>
        </w:rPr>
        <w:t>供应商在响应文件中</w:t>
      </w:r>
      <w:r>
        <w:rPr>
          <w:rFonts w:hint="eastAsia"/>
          <w:b/>
          <w:bCs/>
          <w:highlight w:val="none"/>
        </w:rPr>
        <w:t>可不提供报价，</w:t>
      </w:r>
      <w:r>
        <w:rPr>
          <w:rFonts w:hint="eastAsia"/>
          <w:b/>
          <w:bCs/>
          <w:highlight w:val="none"/>
          <w:lang w:val="en-US" w:eastAsia="zh-CN"/>
        </w:rPr>
        <w:t>在磋商</w:t>
      </w:r>
      <w:r>
        <w:rPr>
          <w:rFonts w:hint="eastAsia"/>
          <w:b/>
          <w:bCs/>
          <w:lang w:val="en-US" w:eastAsia="zh-CN"/>
        </w:rPr>
        <w:t>现场由评审委员会通知现场</w:t>
      </w:r>
      <w:r>
        <w:rPr>
          <w:rFonts w:hint="eastAsia"/>
          <w:b/>
          <w:bCs/>
        </w:rPr>
        <w:t>报价</w:t>
      </w:r>
      <w:r>
        <w:rPr>
          <w:rFonts w:hint="eastAsia"/>
          <w:b/>
          <w:bCs/>
          <w:lang w:eastAsia="zh-CN"/>
        </w:rPr>
        <w:t>(</w:t>
      </w:r>
      <w:r>
        <w:rPr>
          <w:rFonts w:hint="eastAsia"/>
          <w:b/>
          <w:bCs/>
        </w:rPr>
        <w:t>报价表</w:t>
      </w:r>
      <w:r>
        <w:rPr>
          <w:rFonts w:hint="eastAsia"/>
          <w:b/>
          <w:bCs/>
          <w:lang w:val="en-US" w:eastAsia="zh-CN"/>
        </w:rPr>
        <w:t>格式由采购代理机构现场提供，格式详见第三章</w:t>
      </w:r>
      <w:r>
        <w:rPr>
          <w:rFonts w:hint="eastAsia"/>
          <w:b/>
          <w:bCs/>
          <w:lang w:eastAsia="zh-CN"/>
        </w:rPr>
        <w:t>)</w:t>
      </w:r>
      <w:r>
        <w:rPr>
          <w:rFonts w:hint="eastAsia"/>
          <w:b/>
          <w:bCs/>
        </w:rPr>
        <w:t>。</w:t>
      </w:r>
    </w:p>
    <w:p w14:paraId="7D50650F">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本次磋商采购最后报价采用现场报价，通过资格审查</w:t>
      </w:r>
      <w:r>
        <w:rPr>
          <w:rFonts w:hint="eastAsia"/>
          <w:lang w:val="en-US" w:eastAsia="zh-CN"/>
        </w:rPr>
        <w:t>及实质性审查</w:t>
      </w:r>
      <w:r>
        <w:rPr>
          <w:rFonts w:hint="eastAsia"/>
        </w:rPr>
        <w:t>的供应商按磋商小组要求进行报价。</w:t>
      </w:r>
    </w:p>
    <w:p w14:paraId="06C7E93F">
      <w:pPr>
        <w:pStyle w:val="69"/>
        <w:keepNext w:val="0"/>
        <w:keepLines w:val="0"/>
        <w:pageBreakBefore w:val="0"/>
        <w:widowControl w:val="0"/>
        <w:kinsoku/>
        <w:overflowPunct/>
        <w:autoSpaceDE/>
        <w:autoSpaceDN/>
        <w:bidi w:val="0"/>
        <w:snapToGrid w:val="0"/>
        <w:spacing w:line="520" w:lineRule="exact"/>
        <w:rPr>
          <w:rFonts w:hint="eastAsia"/>
          <w:color w:val="000000" w:themeColor="text1"/>
          <w14:textFill>
            <w14:solidFill>
              <w14:schemeClr w14:val="tx1"/>
            </w14:solidFill>
          </w14:textFill>
        </w:rPr>
      </w:pPr>
      <w:r>
        <w:rPr>
          <w:rFonts w:hint="eastAsia"/>
          <w:lang w:val="zh-CN"/>
        </w:rPr>
        <w:t>供应商报价(包括最后报价)应为完成本竞争性磋商文件中所要求的</w:t>
      </w:r>
      <w:r>
        <w:rPr>
          <w:rFonts w:hint="eastAsia"/>
          <w:lang w:val="en-US" w:eastAsia="zh-CN"/>
        </w:rPr>
        <w:t>服务</w:t>
      </w:r>
      <w:r>
        <w:rPr>
          <w:rFonts w:hint="eastAsia"/>
          <w:lang w:val="zh-CN"/>
        </w:rPr>
        <w:t>所应包括内容</w:t>
      </w:r>
      <w:r>
        <w:rPr>
          <w:rFonts w:hint="eastAsia"/>
          <w:color w:val="000000" w:themeColor="text1"/>
          <w:lang w:val="zh-CN"/>
          <w14:textFill>
            <w14:solidFill>
              <w14:schemeClr w14:val="tx1"/>
            </w14:solidFill>
          </w14:textFill>
        </w:rPr>
        <w:t>的所有价格</w:t>
      </w:r>
      <w:r>
        <w:rPr>
          <w:rFonts w:hint="eastAsia"/>
          <w:color w:val="000000" w:themeColor="text1"/>
          <w:lang w:val="en-US" w:eastAsia="zh-CN"/>
          <w14:textFill>
            <w14:solidFill>
              <w14:schemeClr w14:val="tx1"/>
            </w14:solidFill>
          </w14:textFill>
        </w:rPr>
        <w:t>(</w:t>
      </w:r>
      <w:r>
        <w:rPr>
          <w:rFonts w:hint="eastAsia"/>
          <w:color w:val="000000" w:themeColor="text1"/>
          <w:highlight w:val="none"/>
          <w:lang w:val="en-US" w:eastAsia="zh-CN"/>
          <w14:textFill>
            <w14:solidFill>
              <w14:schemeClr w14:val="tx1"/>
            </w14:solidFill>
          </w14:textFill>
        </w:rPr>
        <w:t>含招标代理服务费</w:t>
      </w:r>
      <w:r>
        <w:rPr>
          <w:rFonts w:hint="eastAsia"/>
          <w:color w:val="000000" w:themeColor="text1"/>
          <w:lang w:val="en-US" w:eastAsia="zh-CN"/>
          <w14:textFill>
            <w14:solidFill>
              <w14:schemeClr w14:val="tx1"/>
            </w14:solidFill>
          </w14:textFill>
        </w:rPr>
        <w:t>)</w:t>
      </w:r>
      <w:r>
        <w:rPr>
          <w:rFonts w:hint="eastAsia"/>
          <w:color w:val="000000" w:themeColor="text1"/>
          <w:lang w:val="zh-CN"/>
          <w14:textFill>
            <w14:solidFill>
              <w14:schemeClr w14:val="tx1"/>
            </w14:solidFill>
          </w14:textFill>
        </w:rPr>
        <w:t>。</w:t>
      </w:r>
    </w:p>
    <w:p w14:paraId="53A33BF4">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成交供应商的成交价是以最后报价表的报价为准</w:t>
      </w:r>
      <w:r>
        <w:rPr>
          <w:rFonts w:hint="eastAsia"/>
          <w:lang w:eastAsia="zh-CN"/>
        </w:rPr>
        <w:t>，</w:t>
      </w:r>
      <w:r>
        <w:rPr>
          <w:rFonts w:hint="eastAsia"/>
        </w:rPr>
        <w:t>并以此作为结算的依据。</w:t>
      </w:r>
    </w:p>
    <w:p w14:paraId="131FFB9A">
      <w:pPr>
        <w:pStyle w:val="69"/>
        <w:keepNext w:val="0"/>
        <w:keepLines w:val="0"/>
        <w:pageBreakBefore w:val="0"/>
        <w:widowControl w:val="0"/>
        <w:kinsoku/>
        <w:overflowPunct/>
        <w:autoSpaceDE/>
        <w:autoSpaceDN/>
        <w:bidi w:val="0"/>
        <w:snapToGrid w:val="0"/>
        <w:spacing w:line="520" w:lineRule="exact"/>
        <w:rPr>
          <w:rFonts w:hint="eastAsia"/>
          <w:color w:val="auto"/>
          <w:lang w:val="en-US" w:eastAsia="zh-CN"/>
        </w:rPr>
      </w:pPr>
      <w:r>
        <w:rPr>
          <w:rFonts w:hint="eastAsia"/>
          <w:color w:val="auto"/>
          <w:lang w:val="en-US" w:eastAsia="zh-CN"/>
        </w:rPr>
        <w:t>供应商提交的</w:t>
      </w:r>
      <w:r>
        <w:rPr>
          <w:rFonts w:hint="eastAsia"/>
          <w:color w:val="auto"/>
          <w:lang w:val="zh-CN"/>
        </w:rPr>
        <w:t>报价(包括最后报价)</w:t>
      </w:r>
      <w:r>
        <w:rPr>
          <w:rFonts w:hint="eastAsia"/>
          <w:color w:val="auto"/>
          <w:lang w:val="en-US" w:eastAsia="zh-CN"/>
        </w:rPr>
        <w:t>不得超过本项目</w:t>
      </w:r>
      <w:r>
        <w:rPr>
          <w:rFonts w:hint="eastAsia"/>
          <w:color w:val="auto"/>
          <w:highlight w:val="none"/>
          <w:lang w:val="en-US" w:eastAsia="zh-CN"/>
        </w:rPr>
        <w:t>最高限价</w:t>
      </w:r>
      <w:r>
        <w:rPr>
          <w:rFonts w:hint="eastAsia"/>
          <w:color w:val="auto"/>
          <w:lang w:val="en-US" w:eastAsia="zh-CN"/>
        </w:rPr>
        <w:t>，否则将被作为无效响应处理。</w:t>
      </w:r>
    </w:p>
    <w:p w14:paraId="669F157C">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108" w:name="_Toc21633"/>
      <w:bookmarkStart w:id="109" w:name="_Toc20339"/>
      <w:bookmarkStart w:id="110" w:name="_Toc25616"/>
      <w:bookmarkStart w:id="111" w:name="_Toc29370"/>
      <w:r>
        <w:rPr>
          <w:rFonts w:hint="eastAsia"/>
          <w:lang w:val="en-US" w:eastAsia="zh-CN"/>
        </w:rPr>
        <w:t>响应文件编制要求</w:t>
      </w:r>
      <w:bookmarkEnd w:id="108"/>
      <w:bookmarkEnd w:id="109"/>
      <w:bookmarkEnd w:id="110"/>
      <w:bookmarkEnd w:id="111"/>
    </w:p>
    <w:p w14:paraId="2116614A">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响应文件分</w:t>
      </w:r>
      <w:r>
        <w:rPr>
          <w:rFonts w:hint="eastAsia"/>
          <w:b/>
          <w:bCs/>
          <w:lang w:eastAsia="zh-CN"/>
        </w:rPr>
        <w:t>《</w:t>
      </w:r>
      <w:r>
        <w:rPr>
          <w:rFonts w:hint="eastAsia"/>
          <w:b/>
          <w:bCs/>
          <w:u w:val="single"/>
          <w:lang w:eastAsia="zh-CN"/>
        </w:rPr>
        <w:t>资格、资质性</w:t>
      </w:r>
      <w:r>
        <w:rPr>
          <w:rFonts w:hint="eastAsia"/>
          <w:b/>
          <w:bCs/>
          <w:u w:val="single"/>
          <w:lang w:val="en-US" w:eastAsia="zh-CN"/>
        </w:rPr>
        <w:t>及</w:t>
      </w:r>
      <w:r>
        <w:rPr>
          <w:rFonts w:hint="eastAsia"/>
          <w:b/>
          <w:bCs/>
          <w:u w:val="single"/>
          <w:lang w:eastAsia="zh-CN"/>
        </w:rPr>
        <w:t>其他类似效力响应文件</w:t>
      </w:r>
      <w:r>
        <w:rPr>
          <w:rFonts w:hint="eastAsia"/>
          <w:b/>
          <w:bCs/>
          <w:lang w:eastAsia="zh-CN"/>
        </w:rPr>
        <w:t>》</w:t>
      </w:r>
      <w:r>
        <w:rPr>
          <w:rFonts w:hint="eastAsia"/>
          <w:b/>
          <w:bCs/>
          <w:u w:val="none"/>
          <w:lang w:eastAsia="zh-CN"/>
        </w:rPr>
        <w:t>、《</w:t>
      </w:r>
      <w:r>
        <w:rPr>
          <w:rFonts w:hint="eastAsia"/>
          <w:b/>
          <w:bCs/>
          <w:u w:val="single"/>
        </w:rPr>
        <w:t>其他响应文件</w:t>
      </w:r>
      <w:r>
        <w:rPr>
          <w:rFonts w:hint="eastAsia"/>
          <w:b/>
          <w:bCs/>
          <w:u w:val="none"/>
          <w:lang w:eastAsia="zh-CN"/>
        </w:rPr>
        <w:t>》</w:t>
      </w:r>
      <w:r>
        <w:rPr>
          <w:rFonts w:hint="eastAsia"/>
          <w:lang w:val="en-US" w:eastAsia="zh-CN"/>
        </w:rPr>
        <w:t>两</w:t>
      </w:r>
      <w:r>
        <w:rPr>
          <w:rFonts w:hint="eastAsia"/>
        </w:rPr>
        <w:t>部分</w:t>
      </w:r>
      <w:r>
        <w:rPr>
          <w:rFonts w:hint="eastAsia"/>
          <w:lang w:eastAsia="zh-CN"/>
        </w:rPr>
        <w:t>，</w:t>
      </w:r>
      <w:r>
        <w:rPr>
          <w:rFonts w:hint="eastAsia"/>
          <w:lang w:val="en-US" w:eastAsia="zh-CN"/>
        </w:rPr>
        <w:t>分册装订，内容不得相互混装</w:t>
      </w:r>
      <w:r>
        <w:rPr>
          <w:rFonts w:hint="eastAsia"/>
          <w:lang w:eastAsia="zh-CN"/>
        </w:rPr>
        <w:t>。</w:t>
      </w:r>
    </w:p>
    <w:p w14:paraId="13D27AFF">
      <w:pPr>
        <w:pStyle w:val="69"/>
        <w:keepNext w:val="0"/>
        <w:keepLines w:val="0"/>
        <w:pageBreakBefore w:val="0"/>
        <w:widowControl w:val="0"/>
        <w:kinsoku/>
        <w:overflowPunct/>
        <w:autoSpaceDE/>
        <w:autoSpaceDN/>
        <w:bidi w:val="0"/>
        <w:snapToGrid w:val="0"/>
        <w:spacing w:line="520" w:lineRule="exact"/>
        <w:rPr>
          <w:rFonts w:hint="eastAsia"/>
          <w:color w:val="auto"/>
        </w:rPr>
      </w:pPr>
      <w:r>
        <w:rPr>
          <w:rFonts w:hint="eastAsia"/>
          <w:color w:val="auto"/>
        </w:rPr>
        <w:t>供应商递交的响应文件为一式</w:t>
      </w:r>
      <w:r>
        <w:rPr>
          <w:rFonts w:hint="eastAsia"/>
          <w:b/>
          <w:bCs/>
          <w:color w:val="auto"/>
        </w:rPr>
        <w:t>贰</w:t>
      </w:r>
      <w:r>
        <w:rPr>
          <w:rFonts w:hint="eastAsia"/>
          <w:color w:val="auto"/>
        </w:rPr>
        <w:t>份，其中</w:t>
      </w:r>
      <w:r>
        <w:rPr>
          <w:rFonts w:hint="eastAsia"/>
          <w:b/>
          <w:bCs/>
          <w:color w:val="auto"/>
        </w:rPr>
        <w:t>正本壹份</w:t>
      </w:r>
      <w:r>
        <w:rPr>
          <w:rFonts w:hint="eastAsia"/>
          <w:b/>
          <w:bCs/>
          <w:color w:val="auto"/>
          <w:lang w:eastAsia="zh-CN"/>
        </w:rPr>
        <w:t>、</w:t>
      </w:r>
      <w:r>
        <w:rPr>
          <w:rFonts w:hint="eastAsia"/>
          <w:b/>
          <w:bCs/>
          <w:color w:val="auto"/>
        </w:rPr>
        <w:t>副本壹份</w:t>
      </w:r>
      <w:r>
        <w:rPr>
          <w:rFonts w:hint="eastAsia"/>
          <w:b/>
          <w:bCs/>
          <w:color w:val="auto"/>
          <w:lang w:val="en-US" w:eastAsia="zh-CN"/>
        </w:rPr>
        <w:t>；电子文档壹份</w:t>
      </w:r>
      <w:r>
        <w:rPr>
          <w:rFonts w:hint="eastAsia"/>
          <w:b/>
          <w:bCs/>
          <w:color w:val="auto"/>
        </w:rPr>
        <w:t>。</w:t>
      </w:r>
    </w:p>
    <w:p w14:paraId="2D15EC6A">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响应文件正副本应用不褪色、不变质的墨水书写或打印，并装订成册。并在响应文件封</w:t>
      </w:r>
      <w:r>
        <w:rPr>
          <w:rFonts w:hint="eastAsia"/>
          <w:color w:val="000000" w:themeColor="text1"/>
          <w14:textFill>
            <w14:solidFill>
              <w14:schemeClr w14:val="tx1"/>
            </w14:solidFill>
          </w14:textFill>
        </w:rPr>
        <w:t>面标明项目名称、项目编号、磋商日期</w:t>
      </w:r>
      <w:r>
        <w:rPr>
          <w:rFonts w:hint="eastAsia"/>
          <w:color w:val="000000" w:themeColor="text1"/>
          <w:highlight w:val="none"/>
          <w14:textFill>
            <w14:solidFill>
              <w14:schemeClr w14:val="tx1"/>
            </w14:solidFill>
          </w14:textFill>
        </w:rPr>
        <w:t>、</w:t>
      </w:r>
      <w:r>
        <w:rPr>
          <w:rFonts w:hint="eastAsia"/>
          <w:color w:val="000000" w:themeColor="text1"/>
          <w14:textFill>
            <w14:solidFill>
              <w14:schemeClr w14:val="tx1"/>
            </w14:solidFill>
          </w14:textFill>
        </w:rPr>
        <w:t>供应商名称以及“正本”、</w:t>
      </w:r>
      <w:r>
        <w:rPr>
          <w:rFonts w:hint="eastAsia"/>
        </w:rPr>
        <w:t>“副本”字样。</w:t>
      </w:r>
    </w:p>
    <w:p w14:paraId="4FFE5923">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响应文件正本和副本统一用A4幅面纸印制</w:t>
      </w:r>
      <w:r>
        <w:rPr>
          <w:rFonts w:hint="eastAsia"/>
          <w:lang w:eastAsia="zh-CN"/>
        </w:rPr>
        <w:t>(</w:t>
      </w:r>
      <w:r>
        <w:rPr>
          <w:rFonts w:hint="eastAsia"/>
        </w:rPr>
        <w:t>图、表及证件可以除外</w:t>
      </w:r>
      <w:r>
        <w:rPr>
          <w:rFonts w:hint="eastAsia"/>
          <w:lang w:eastAsia="zh-CN"/>
        </w:rPr>
        <w:t>)</w:t>
      </w:r>
      <w:r>
        <w:rPr>
          <w:rFonts w:hint="eastAsia"/>
        </w:rPr>
        <w:t>，逐页</w:t>
      </w:r>
      <w:r>
        <w:rPr>
          <w:rFonts w:hint="eastAsia"/>
          <w:lang w:val="en-US" w:eastAsia="zh-CN"/>
        </w:rPr>
        <w:t>编目</w:t>
      </w:r>
      <w:r>
        <w:rPr>
          <w:rFonts w:hint="eastAsia"/>
        </w:rPr>
        <w:t>编码</w:t>
      </w:r>
      <w:r>
        <w:rPr>
          <w:rFonts w:hint="eastAsia"/>
          <w:lang w:eastAsia="zh-CN"/>
        </w:rPr>
        <w:t>。响应</w:t>
      </w:r>
      <w:r>
        <w:rPr>
          <w:rFonts w:hint="eastAsia"/>
        </w:rPr>
        <w:t>文件副本可采用正本的复印件，若正本和副本有不一致的内容，以正本书面</w:t>
      </w:r>
      <w:r>
        <w:rPr>
          <w:rFonts w:hint="eastAsia"/>
          <w:lang w:eastAsia="zh-CN"/>
        </w:rPr>
        <w:t>响应</w:t>
      </w:r>
      <w:r>
        <w:rPr>
          <w:rFonts w:hint="eastAsia"/>
        </w:rPr>
        <w:t>文件为准。</w:t>
      </w:r>
    </w:p>
    <w:p w14:paraId="1195F7C2">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响应文件的正本和副本应采用左侧胶装</w:t>
      </w:r>
      <w:r>
        <w:rPr>
          <w:rFonts w:hint="eastAsia"/>
          <w:lang w:eastAsia="zh-CN"/>
        </w:rPr>
        <w:t>，</w:t>
      </w:r>
      <w:r>
        <w:rPr>
          <w:rFonts w:hint="eastAsia"/>
        </w:rPr>
        <w:t>不得散装</w:t>
      </w:r>
      <w:r>
        <w:rPr>
          <w:rFonts w:hint="eastAsia"/>
          <w:lang w:eastAsia="zh-CN"/>
        </w:rPr>
        <w:t>或</w:t>
      </w:r>
      <w:r>
        <w:rPr>
          <w:rFonts w:hint="eastAsia"/>
        </w:rPr>
        <w:t>不得采用活页夹等可随时拆换的方式装订，不得有零散页。</w:t>
      </w:r>
    </w:p>
    <w:p w14:paraId="5B7A17A3">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若同一册的内容较多，可装订成若干分册，并在封面标明次序及册数。</w:t>
      </w:r>
    </w:p>
    <w:p w14:paraId="753DD909">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响应文件中的证明、证件及附件等复</w:t>
      </w:r>
      <w:r>
        <w:rPr>
          <w:rFonts w:hint="eastAsia"/>
          <w:lang w:val="en-US" w:eastAsia="zh-CN"/>
        </w:rPr>
        <w:t>印</w:t>
      </w:r>
      <w:r>
        <w:rPr>
          <w:rFonts w:hint="eastAsia"/>
        </w:rPr>
        <w:t>件应集中紧附在相应正文内容后面，并尽量与前面正文部分的顺序相对应。</w:t>
      </w:r>
    </w:p>
    <w:p w14:paraId="5979F120">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竞争性磋商文件要求响应文件签字的应按竞争性磋商文件的</w:t>
      </w:r>
      <w:r>
        <w:rPr>
          <w:rFonts w:hint="eastAsia"/>
          <w:lang w:val="en-US" w:eastAsia="zh-CN"/>
        </w:rPr>
        <w:t>规定和</w:t>
      </w:r>
      <w:r>
        <w:rPr>
          <w:rFonts w:hint="eastAsia"/>
        </w:rPr>
        <w:t>要求签字(注：供应商为法人的，应当由其法定代表人或者授权代表签字确认；供应商为其他组织的，应当由其主要负责人或者授权代表签字确认；签字可用具有法定效力的个人印章代替)；竞争性磋商文件要求响应文件盖章的应加盖供应商单位公章，不得使用专用章(如经济合同章、投标专用章等)或下属单位印章代替；竞争性磋商文件未规定格式的可由供应商自拟格式并加盖供应商单位公章</w:t>
      </w:r>
      <w:r>
        <w:rPr>
          <w:rFonts w:hint="eastAsia"/>
          <w:b/>
          <w:bCs/>
        </w:rPr>
        <w:t>(实质性要求)</w:t>
      </w:r>
      <w:r>
        <w:rPr>
          <w:rFonts w:hint="eastAsia"/>
        </w:rPr>
        <w:t>。</w:t>
      </w:r>
    </w:p>
    <w:p w14:paraId="36E27B88">
      <w:pPr>
        <w:pStyle w:val="69"/>
        <w:keepNext w:val="0"/>
        <w:keepLines w:val="0"/>
        <w:pageBreakBefore w:val="0"/>
        <w:widowControl w:val="0"/>
        <w:kinsoku/>
        <w:overflowPunct/>
        <w:autoSpaceDE/>
        <w:autoSpaceDN/>
        <w:bidi w:val="0"/>
        <w:spacing w:line="520" w:lineRule="exact"/>
      </w:pPr>
      <w:r>
        <w:rPr>
          <w:rFonts w:hint="eastAsia"/>
        </w:rPr>
        <w:t>本</w:t>
      </w:r>
      <w:r>
        <w:rPr>
          <w:rFonts w:hint="eastAsia"/>
          <w:lang w:val="en-US" w:eastAsia="zh-CN"/>
        </w:rPr>
        <w:t>采购</w:t>
      </w:r>
      <w:r>
        <w:rPr>
          <w:rFonts w:hint="eastAsia"/>
        </w:rPr>
        <w:t>文件要求的复印件是指对图文进行复制后的文件，包括扫描、复印、影印等方式复制的材料。</w:t>
      </w:r>
    </w:p>
    <w:p w14:paraId="3812D460">
      <w:pPr>
        <w:pStyle w:val="69"/>
        <w:keepNext w:val="0"/>
        <w:keepLines w:val="0"/>
        <w:pageBreakBefore w:val="0"/>
        <w:widowControl w:val="0"/>
        <w:kinsoku/>
        <w:overflowPunct/>
        <w:autoSpaceDE/>
        <w:autoSpaceDN/>
        <w:bidi w:val="0"/>
        <w:spacing w:line="520" w:lineRule="exact"/>
        <w:rPr>
          <w:rFonts w:hint="eastAsia"/>
        </w:rPr>
      </w:pPr>
      <w:r>
        <w:rPr>
          <w:rFonts w:hint="eastAsia"/>
          <w:lang w:val="en-US" w:eastAsia="zh-CN"/>
        </w:rPr>
        <w:t>供应商在递交本项目响应文件时一并递交项目的</w:t>
      </w:r>
      <w:r>
        <w:rPr>
          <w:rFonts w:hint="eastAsia"/>
          <w:b/>
          <w:bCs/>
          <w:lang w:val="en-US" w:eastAsia="zh-CN"/>
        </w:rPr>
        <w:t>电子文档一份</w:t>
      </w:r>
      <w:r>
        <w:rPr>
          <w:rFonts w:hint="eastAsia"/>
          <w:lang w:val="en-US" w:eastAsia="zh-CN"/>
        </w:rPr>
        <w:t>。电子文档为</w:t>
      </w:r>
      <w:r>
        <w:rPr>
          <w:rFonts w:hint="eastAsia"/>
          <w:b/>
          <w:bCs/>
          <w:lang w:val="en-US" w:eastAsia="zh-CN"/>
        </w:rPr>
        <w:t>PDF格式</w:t>
      </w:r>
      <w:r>
        <w:rPr>
          <w:rFonts w:hint="eastAsia"/>
          <w:lang w:val="en-US" w:eastAsia="zh-CN"/>
        </w:rPr>
        <w:t>版本，保存介质</w:t>
      </w:r>
      <w:r>
        <w:rPr>
          <w:rFonts w:hint="eastAsia"/>
          <w:b/>
          <w:bCs/>
          <w:lang w:val="en-US" w:eastAsia="zh-CN"/>
        </w:rPr>
        <w:t>采用USB闪存盘(U盘)</w:t>
      </w:r>
      <w:r>
        <w:rPr>
          <w:rFonts w:hint="eastAsia"/>
          <w:lang w:val="en-US" w:eastAsia="zh-CN"/>
        </w:rPr>
        <w:t>。制作要求为按竞争性磋商文件要求制作完成并加盖供应商公章及签名的响应文件的扫描件。电子文档单独密封递交，外层标注供应商名称、电子文档、加盖供应商公章。如电子文档与书面的响应文件有不一致的内容，以书面响应文件正本为准。</w:t>
      </w:r>
    </w:p>
    <w:p w14:paraId="35AA9EDD">
      <w:pPr>
        <w:pStyle w:val="69"/>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lang w:val="en-US" w:eastAsia="zh-CN"/>
        </w:rPr>
        <w:t>补充、</w:t>
      </w:r>
      <w:r>
        <w:rPr>
          <w:rFonts w:hint="eastAsia"/>
        </w:rPr>
        <w:t>修改的响应文件的装订也应按</w:t>
      </w:r>
      <w:r>
        <w:rPr>
          <w:rFonts w:hint="eastAsia"/>
          <w:lang w:val="en-US" w:eastAsia="zh-CN"/>
        </w:rPr>
        <w:t>以上</w:t>
      </w:r>
      <w:r>
        <w:rPr>
          <w:rFonts w:hint="eastAsia"/>
        </w:rPr>
        <w:t>要求办理</w:t>
      </w:r>
      <w:r>
        <w:rPr>
          <w:rFonts w:hint="eastAsia"/>
          <w:lang w:val="en-US" w:eastAsia="zh-CN"/>
        </w:rPr>
        <w:t>。</w:t>
      </w:r>
    </w:p>
    <w:p w14:paraId="1F232A51">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112" w:name="_Toc26009"/>
      <w:bookmarkStart w:id="113" w:name="_Toc27421"/>
      <w:bookmarkStart w:id="114" w:name="_Toc26347"/>
      <w:bookmarkStart w:id="115" w:name="_Toc10777"/>
      <w:bookmarkStart w:id="116" w:name="_Toc32589"/>
      <w:bookmarkStart w:id="117" w:name="_Toc27391"/>
      <w:bookmarkStart w:id="118" w:name="_Toc27272"/>
      <w:bookmarkStart w:id="119" w:name="_Toc6048"/>
      <w:r>
        <w:rPr>
          <w:rFonts w:hint="eastAsia"/>
          <w:lang w:val="en-US" w:eastAsia="zh-CN"/>
        </w:rPr>
        <w:t>响应文件的密封和标注</w:t>
      </w:r>
      <w:bookmarkEnd w:id="112"/>
      <w:bookmarkEnd w:id="113"/>
      <w:bookmarkEnd w:id="114"/>
      <w:bookmarkEnd w:id="115"/>
    </w:p>
    <w:p w14:paraId="39A65004">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ascii="宋体" w:hAnsi="宋体" w:eastAsia="宋体"/>
          <w:lang w:val="en-US" w:eastAsia="zh-CN"/>
        </w:rPr>
      </w:pPr>
      <w:r>
        <w:rPr>
          <w:rFonts w:hint="eastAsia" w:ascii="宋体" w:hAnsi="宋体" w:eastAsia="宋体"/>
          <w:lang w:val="en-US" w:eastAsia="zh-CN"/>
        </w:rPr>
        <w:t>1.本项不属于本项目磋商小组评审范畴，由采购人、采购代理机构在接收响应文件时及时处理。</w:t>
      </w:r>
    </w:p>
    <w:p w14:paraId="2F00ECB5">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lang w:val="en-US" w:eastAsia="zh-CN"/>
        </w:rPr>
        <w:t>2.响应文件可以单独密封包装，也可以将所有响应文件密封包装在一个密封袋内。</w:t>
      </w:r>
    </w:p>
    <w:p w14:paraId="02F1DD92">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lang w:val="en-US" w:eastAsia="zh-CN"/>
        </w:rPr>
        <w:t>3.响应文件密封袋的最外层应清楚地标明采购项目名称、项目编号、供应商名称、磋商日期。</w:t>
      </w:r>
    </w:p>
    <w:p w14:paraId="4E45B6C0">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lang w:val="en-US" w:eastAsia="zh-CN"/>
        </w:rPr>
        <w:t>4.所有外层密封袋的封口处应粘贴牢固。</w:t>
      </w:r>
    </w:p>
    <w:p w14:paraId="3BC52B74">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lang w:val="en-US" w:eastAsia="zh-CN"/>
        </w:rPr>
        <w:t>5.未按以上要求进行密封和标注的响应文件，采购人、采购代理机构将拒收或者在响应文件递交截止时间前按照磋商文件要求修改完善后接收。</w:t>
      </w:r>
    </w:p>
    <w:p w14:paraId="5B5522F4">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120" w:name="_Toc25258"/>
      <w:bookmarkStart w:id="121" w:name="_Toc21827"/>
      <w:bookmarkStart w:id="122" w:name="_Toc11960"/>
      <w:r>
        <w:rPr>
          <w:rFonts w:hint="eastAsia"/>
          <w:lang w:val="en-US" w:eastAsia="zh-CN"/>
        </w:rPr>
        <w:t>响应文件的递交</w:t>
      </w:r>
      <w:bookmarkEnd w:id="116"/>
      <w:bookmarkEnd w:id="117"/>
      <w:bookmarkEnd w:id="118"/>
      <w:bookmarkEnd w:id="119"/>
      <w:bookmarkEnd w:id="120"/>
      <w:bookmarkEnd w:id="121"/>
      <w:bookmarkEnd w:id="122"/>
    </w:p>
    <w:p w14:paraId="04009D63">
      <w:pPr>
        <w:pStyle w:val="69"/>
        <w:keepNext w:val="0"/>
        <w:keepLines w:val="0"/>
        <w:pageBreakBefore w:val="0"/>
        <w:widowControl w:val="0"/>
        <w:kinsoku/>
        <w:overflowPunct/>
        <w:autoSpaceDE/>
        <w:autoSpaceDN/>
        <w:bidi w:val="0"/>
        <w:snapToGrid w:val="0"/>
        <w:spacing w:line="520" w:lineRule="exact"/>
        <w:rPr>
          <w:rFonts w:hint="eastAsia"/>
        </w:rPr>
      </w:pPr>
      <w:r>
        <w:rPr>
          <w:rFonts w:hint="eastAsia"/>
          <w:lang w:val="en-US" w:eastAsia="zh-CN"/>
        </w:rPr>
        <w:t>供应商</w:t>
      </w:r>
      <w:r>
        <w:rPr>
          <w:rFonts w:hint="eastAsia"/>
        </w:rPr>
        <w:t>应在</w:t>
      </w:r>
      <w:r>
        <w:rPr>
          <w:rFonts w:hint="eastAsia"/>
          <w:lang w:val="en-US" w:eastAsia="zh-CN"/>
        </w:rPr>
        <w:t>竞争性磋商</w:t>
      </w:r>
      <w:r>
        <w:rPr>
          <w:rFonts w:hint="eastAsia"/>
        </w:rPr>
        <w:t>文件规定的</w:t>
      </w:r>
      <w:r>
        <w:rPr>
          <w:rFonts w:hint="eastAsia"/>
          <w:lang w:val="en-US" w:eastAsia="zh-CN"/>
        </w:rPr>
        <w:t>响应文件递交截止时间</w:t>
      </w:r>
      <w:r>
        <w:rPr>
          <w:rFonts w:hint="eastAsia"/>
        </w:rPr>
        <w:t>前，将</w:t>
      </w:r>
      <w:r>
        <w:rPr>
          <w:rFonts w:hint="eastAsia"/>
          <w:lang w:val="en-US" w:eastAsia="zh-CN"/>
        </w:rPr>
        <w:t>响应</w:t>
      </w:r>
      <w:r>
        <w:rPr>
          <w:rFonts w:hint="eastAsia"/>
        </w:rPr>
        <w:t>文件按</w:t>
      </w:r>
      <w:r>
        <w:rPr>
          <w:rFonts w:hint="eastAsia"/>
          <w:lang w:val="en-US" w:eastAsia="zh-CN"/>
        </w:rPr>
        <w:t>磋商</w:t>
      </w:r>
      <w:r>
        <w:rPr>
          <w:rFonts w:hint="eastAsia"/>
        </w:rPr>
        <w:t>文件规定密封</w:t>
      </w:r>
      <w:r>
        <w:rPr>
          <w:rFonts w:hint="eastAsia"/>
          <w:lang w:eastAsia="zh-CN"/>
        </w:rPr>
        <w:t>、</w:t>
      </w:r>
      <w:r>
        <w:rPr>
          <w:rFonts w:hint="eastAsia"/>
          <w:lang w:val="en-US" w:eastAsia="zh-CN"/>
        </w:rPr>
        <w:t>签署、盖章</w:t>
      </w:r>
      <w:r>
        <w:rPr>
          <w:rFonts w:hint="eastAsia"/>
        </w:rPr>
        <w:t>后送达</w:t>
      </w:r>
      <w:r>
        <w:rPr>
          <w:rFonts w:hint="eastAsia"/>
          <w:lang w:val="en-US" w:eastAsia="zh-CN"/>
        </w:rPr>
        <w:t>磋商</w:t>
      </w:r>
      <w:r>
        <w:rPr>
          <w:rFonts w:hint="eastAsia"/>
        </w:rPr>
        <w:t>地点。</w:t>
      </w:r>
      <w:r>
        <w:rPr>
          <w:rFonts w:hint="eastAsia"/>
          <w:b/>
          <w:bCs/>
        </w:rPr>
        <w:t>逾期送达的</w:t>
      </w:r>
      <w:r>
        <w:rPr>
          <w:rFonts w:hint="eastAsia"/>
          <w:b/>
          <w:bCs/>
          <w:lang w:val="en-US" w:eastAsia="zh-CN"/>
        </w:rPr>
        <w:t>响应</w:t>
      </w:r>
      <w:r>
        <w:rPr>
          <w:rFonts w:hint="eastAsia"/>
          <w:b/>
          <w:bCs/>
        </w:rPr>
        <w:t>文件为无效文件</w:t>
      </w:r>
      <w:r>
        <w:rPr>
          <w:rFonts w:hint="eastAsia"/>
        </w:rPr>
        <w:t>，</w:t>
      </w:r>
      <w:r>
        <w:rPr>
          <w:rFonts w:hint="eastAsia"/>
          <w:lang w:val="en-US" w:eastAsia="zh-CN"/>
        </w:rPr>
        <w:t>将被采购代理机构</w:t>
      </w:r>
      <w:r>
        <w:rPr>
          <w:rFonts w:hint="eastAsia"/>
        </w:rPr>
        <w:t>拒收。</w:t>
      </w:r>
    </w:p>
    <w:p w14:paraId="4DE877F7">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递交</w:t>
      </w:r>
      <w:r>
        <w:rPr>
          <w:rFonts w:hint="eastAsia"/>
          <w:lang w:val="en-US" w:eastAsia="zh-CN"/>
        </w:rPr>
        <w:t>响应</w:t>
      </w:r>
      <w:r>
        <w:rPr>
          <w:rFonts w:hint="eastAsia"/>
        </w:rPr>
        <w:t>文件时，供应商名称和</w:t>
      </w:r>
      <w:r>
        <w:rPr>
          <w:rFonts w:hint="eastAsia"/>
          <w:lang w:val="en-US" w:eastAsia="zh-CN"/>
        </w:rPr>
        <w:t>响应</w:t>
      </w:r>
      <w:r>
        <w:rPr>
          <w:rFonts w:hint="eastAsia"/>
        </w:rPr>
        <w:t>文件的</w:t>
      </w:r>
      <w:r>
        <w:rPr>
          <w:rFonts w:hint="eastAsia"/>
          <w:lang w:val="en-US" w:eastAsia="zh-CN"/>
        </w:rPr>
        <w:t>项目编号</w:t>
      </w:r>
      <w:r>
        <w:rPr>
          <w:rFonts w:hint="eastAsia"/>
        </w:rPr>
        <w:t>应当与</w:t>
      </w:r>
      <w:r>
        <w:rPr>
          <w:rFonts w:hint="eastAsia"/>
          <w:lang w:val="en-US" w:eastAsia="zh-CN"/>
        </w:rPr>
        <w:t>报名</w:t>
      </w:r>
      <w:r>
        <w:rPr>
          <w:rFonts w:hint="eastAsia"/>
        </w:rPr>
        <w:t>供应商名称和</w:t>
      </w:r>
      <w:r>
        <w:rPr>
          <w:rFonts w:hint="eastAsia"/>
          <w:lang w:val="en-US" w:eastAsia="zh-CN"/>
        </w:rPr>
        <w:t>磋商</w:t>
      </w:r>
      <w:r>
        <w:rPr>
          <w:rFonts w:hint="eastAsia"/>
        </w:rPr>
        <w:t>文件的</w:t>
      </w:r>
      <w:r>
        <w:rPr>
          <w:rFonts w:hint="eastAsia"/>
          <w:lang w:val="en-US" w:eastAsia="zh-CN"/>
        </w:rPr>
        <w:t>项目编号</w:t>
      </w:r>
      <w:r>
        <w:rPr>
          <w:rFonts w:hint="eastAsia"/>
        </w:rPr>
        <w:t>一致。但是，</w:t>
      </w:r>
      <w:r>
        <w:rPr>
          <w:rFonts w:hint="eastAsia"/>
          <w:lang w:val="en-US" w:eastAsia="zh-CN"/>
        </w:rPr>
        <w:t>响应</w:t>
      </w:r>
      <w:r>
        <w:rPr>
          <w:rFonts w:hint="eastAsia"/>
        </w:rPr>
        <w:t>文件实质内容</w:t>
      </w:r>
      <w:r>
        <w:rPr>
          <w:rFonts w:hint="eastAsia"/>
          <w:lang w:val="en-US" w:eastAsia="zh-CN"/>
        </w:rPr>
        <w:t>与</w:t>
      </w:r>
      <w:r>
        <w:rPr>
          <w:rFonts w:hint="eastAsia"/>
        </w:rPr>
        <w:t>报名供应商名称和</w:t>
      </w:r>
      <w:r>
        <w:rPr>
          <w:rFonts w:hint="eastAsia"/>
          <w:lang w:val="en-US" w:eastAsia="zh-CN"/>
        </w:rPr>
        <w:t>磋商</w:t>
      </w:r>
      <w:r>
        <w:rPr>
          <w:rFonts w:hint="eastAsia"/>
        </w:rPr>
        <w:t>文件的</w:t>
      </w:r>
      <w:r>
        <w:rPr>
          <w:rFonts w:hint="eastAsia"/>
          <w:lang w:val="en-US" w:eastAsia="zh-CN"/>
        </w:rPr>
        <w:t>项目编号</w:t>
      </w:r>
      <w:r>
        <w:rPr>
          <w:rFonts w:hint="eastAsia"/>
        </w:rPr>
        <w:t>一致，只是封面文字错误的，可以在评</w:t>
      </w:r>
      <w:r>
        <w:rPr>
          <w:rFonts w:hint="eastAsia"/>
          <w:lang w:val="en-US" w:eastAsia="zh-CN"/>
        </w:rPr>
        <w:t>审</w:t>
      </w:r>
      <w:r>
        <w:rPr>
          <w:rFonts w:hint="eastAsia"/>
        </w:rPr>
        <w:t>过程中当面予以澄清，以有效的澄清材料作为认定</w:t>
      </w:r>
      <w:r>
        <w:rPr>
          <w:rFonts w:hint="eastAsia"/>
          <w:lang w:val="en-US" w:eastAsia="zh-CN"/>
        </w:rPr>
        <w:t>响应</w:t>
      </w:r>
      <w:r>
        <w:rPr>
          <w:rFonts w:hint="eastAsia"/>
        </w:rPr>
        <w:t>文件是否有效的依据。</w:t>
      </w:r>
    </w:p>
    <w:p w14:paraId="318039A1">
      <w:pPr>
        <w:pStyle w:val="69"/>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lang w:val="en-US" w:eastAsia="zh-CN"/>
        </w:rPr>
        <w:t>本次竞争性磋商不接收邮寄的响应文件。</w:t>
      </w:r>
    </w:p>
    <w:p w14:paraId="154F68CE">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123" w:name="_Toc5149"/>
      <w:bookmarkStart w:id="124" w:name="_Toc19811"/>
      <w:bookmarkStart w:id="125" w:name="_Toc11511"/>
      <w:bookmarkStart w:id="126" w:name="_Toc31189"/>
      <w:r>
        <w:rPr>
          <w:rFonts w:hint="eastAsia"/>
          <w:lang w:val="en-US" w:eastAsia="zh-CN"/>
        </w:rPr>
        <w:t>响应文件的修改和撤回</w:t>
      </w:r>
      <w:bookmarkEnd w:id="123"/>
      <w:bookmarkEnd w:id="124"/>
      <w:bookmarkEnd w:id="125"/>
      <w:bookmarkEnd w:id="126"/>
    </w:p>
    <w:p w14:paraId="59FEDEE9">
      <w:pPr>
        <w:pStyle w:val="69"/>
        <w:keepNext w:val="0"/>
        <w:keepLines w:val="0"/>
        <w:pageBreakBefore w:val="0"/>
        <w:widowControl w:val="0"/>
        <w:kinsoku/>
        <w:overflowPunct/>
        <w:autoSpaceDE/>
        <w:autoSpaceDN/>
        <w:bidi w:val="0"/>
        <w:snapToGrid w:val="0"/>
        <w:spacing w:line="520" w:lineRule="exact"/>
        <w:rPr>
          <w:rFonts w:hint="eastAsia"/>
        </w:rPr>
      </w:pPr>
      <w:r>
        <w:rPr>
          <w:rFonts w:hint="eastAsia"/>
          <w:lang w:val="en-US" w:eastAsia="zh-CN"/>
        </w:rPr>
        <w:t>供应商在提交响应文件截止时间前，可以对所提交的响应文件进行补充、修改或者撤回，并书面通知采购人、采购代理机构。补充、修改的内容作为响应文件的组成部分。补充、修改的内容与响应文件不一致的，以补充、修改的内容为准。</w:t>
      </w:r>
      <w:r>
        <w:rPr>
          <w:rFonts w:hint="eastAsia"/>
        </w:rPr>
        <w:t>补充、修改的内容应当按照</w:t>
      </w:r>
      <w:r>
        <w:rPr>
          <w:rFonts w:hint="eastAsia"/>
          <w:lang w:val="en-US" w:eastAsia="zh-CN"/>
        </w:rPr>
        <w:t>磋商</w:t>
      </w:r>
      <w:r>
        <w:rPr>
          <w:rFonts w:hint="eastAsia"/>
        </w:rPr>
        <w:t>文件要求签署、盖章、密封后，作为</w:t>
      </w:r>
      <w:r>
        <w:rPr>
          <w:rFonts w:hint="eastAsia"/>
          <w:lang w:val="en-US" w:eastAsia="zh-CN"/>
        </w:rPr>
        <w:t>响应</w:t>
      </w:r>
      <w:r>
        <w:rPr>
          <w:rFonts w:hint="eastAsia"/>
        </w:rPr>
        <w:t>文件的组成部分。</w:t>
      </w:r>
    </w:p>
    <w:p w14:paraId="1D0C3061">
      <w:pPr>
        <w:pStyle w:val="69"/>
        <w:keepNext w:val="0"/>
        <w:keepLines w:val="0"/>
        <w:pageBreakBefore w:val="0"/>
        <w:widowControl w:val="0"/>
        <w:kinsoku/>
        <w:overflowPunct/>
        <w:autoSpaceDE/>
        <w:autoSpaceDN/>
        <w:bidi w:val="0"/>
        <w:snapToGrid w:val="0"/>
        <w:spacing w:line="520" w:lineRule="exact"/>
        <w:rPr>
          <w:rFonts w:hint="eastAsia"/>
        </w:rPr>
      </w:pPr>
      <w:r>
        <w:rPr>
          <w:rFonts w:hint="eastAsia"/>
          <w:lang w:val="en-US" w:eastAsia="zh-CN"/>
        </w:rPr>
        <w:t>供应商</w:t>
      </w:r>
      <w:r>
        <w:rPr>
          <w:rFonts w:hint="eastAsia"/>
        </w:rPr>
        <w:t>的</w:t>
      </w:r>
      <w:r>
        <w:rPr>
          <w:rFonts w:hint="eastAsia"/>
          <w:lang w:val="en-US" w:eastAsia="zh-CN"/>
        </w:rPr>
        <w:t>补充、</w:t>
      </w:r>
      <w:r>
        <w:rPr>
          <w:rFonts w:hint="eastAsia"/>
        </w:rPr>
        <w:t>修改或撤回</w:t>
      </w:r>
      <w:r>
        <w:rPr>
          <w:rFonts w:hint="eastAsia"/>
          <w:lang w:val="en-US" w:eastAsia="zh-CN"/>
        </w:rPr>
        <w:t>申请</w:t>
      </w:r>
      <w:r>
        <w:rPr>
          <w:rFonts w:hint="eastAsia"/>
        </w:rPr>
        <w:t>书，应由其</w:t>
      </w:r>
      <w:r>
        <w:rPr>
          <w:rFonts w:hint="eastAsia"/>
          <w:lang w:eastAsia="zh-CN"/>
        </w:rPr>
        <w:t>法定代表人/单位负责人或授权代表</w:t>
      </w:r>
      <w:r>
        <w:rPr>
          <w:rFonts w:hint="eastAsia"/>
        </w:rPr>
        <w:t>签署并盖单位</w:t>
      </w:r>
      <w:r>
        <w:rPr>
          <w:rFonts w:hint="eastAsia"/>
          <w:lang w:val="en-US" w:eastAsia="zh-CN"/>
        </w:rPr>
        <w:t>公章</w:t>
      </w:r>
      <w:r>
        <w:rPr>
          <w:rFonts w:hint="eastAsia"/>
        </w:rPr>
        <w:t>。</w:t>
      </w:r>
      <w:r>
        <w:rPr>
          <w:rFonts w:hint="eastAsia"/>
          <w:lang w:val="en-US" w:eastAsia="zh-CN"/>
        </w:rPr>
        <w:t>补充、</w:t>
      </w:r>
      <w:r>
        <w:rPr>
          <w:rFonts w:hint="eastAsia"/>
        </w:rPr>
        <w:t>修改应按</w:t>
      </w:r>
      <w:r>
        <w:rPr>
          <w:rFonts w:hint="eastAsia"/>
          <w:lang w:val="en-US" w:eastAsia="zh-CN"/>
        </w:rPr>
        <w:t>磋商文件</w:t>
      </w:r>
      <w:r>
        <w:rPr>
          <w:rFonts w:hint="eastAsia"/>
        </w:rPr>
        <w:t>规定进行密封和标注，并在密封袋上标注</w:t>
      </w:r>
      <w:r>
        <w:rPr>
          <w:rFonts w:hint="eastAsia"/>
          <w:lang w:eastAsia="zh-CN"/>
        </w:rPr>
        <w:t>“</w:t>
      </w:r>
      <w:r>
        <w:rPr>
          <w:rFonts w:hint="eastAsia"/>
          <w:lang w:val="en-US" w:eastAsia="zh-CN"/>
        </w:rPr>
        <w:t>补充</w:t>
      </w:r>
      <w:r>
        <w:rPr>
          <w:rFonts w:hint="eastAsia"/>
          <w:lang w:eastAsia="zh-CN"/>
        </w:rPr>
        <w:t>”、</w:t>
      </w:r>
      <w:r>
        <w:rPr>
          <w:rFonts w:hint="eastAsia"/>
        </w:rPr>
        <w:t>“修改”字样。</w:t>
      </w:r>
    </w:p>
    <w:p w14:paraId="19458EC9">
      <w:pPr>
        <w:pStyle w:val="69"/>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rPr>
        <w:t>在</w:t>
      </w:r>
      <w:r>
        <w:rPr>
          <w:rFonts w:hint="eastAsia"/>
          <w:lang w:val="en-US" w:eastAsia="zh-CN"/>
        </w:rPr>
        <w:t>响应文件递交截止时间</w:t>
      </w:r>
      <w:r>
        <w:rPr>
          <w:rFonts w:hint="eastAsia"/>
        </w:rPr>
        <w:t>之后，</w:t>
      </w:r>
      <w:r>
        <w:rPr>
          <w:rFonts w:hint="eastAsia"/>
          <w:lang w:val="en-US" w:eastAsia="zh-CN"/>
        </w:rPr>
        <w:t>供应商</w:t>
      </w:r>
      <w:r>
        <w:rPr>
          <w:rFonts w:hint="eastAsia"/>
        </w:rPr>
        <w:t>不得对其递交的</w:t>
      </w:r>
      <w:r>
        <w:rPr>
          <w:rFonts w:hint="eastAsia"/>
          <w:lang w:val="en-US" w:eastAsia="zh-CN"/>
        </w:rPr>
        <w:t>响应</w:t>
      </w:r>
      <w:r>
        <w:rPr>
          <w:rFonts w:hint="eastAsia"/>
        </w:rPr>
        <w:t>文件</w:t>
      </w:r>
      <w:r>
        <w:rPr>
          <w:rFonts w:hint="eastAsia"/>
          <w:lang w:val="en-US" w:eastAsia="zh-CN"/>
        </w:rPr>
        <w:t>进行</w:t>
      </w:r>
      <w:r>
        <w:rPr>
          <w:rFonts w:hint="eastAsia"/>
        </w:rPr>
        <w:t>撤回</w:t>
      </w:r>
      <w:r>
        <w:rPr>
          <w:rFonts w:hint="eastAsia"/>
          <w:lang w:eastAsia="zh-CN"/>
        </w:rPr>
        <w:t>。</w:t>
      </w:r>
    </w:p>
    <w:p w14:paraId="36530412">
      <w:pPr>
        <w:pStyle w:val="69"/>
        <w:keepNext w:val="0"/>
        <w:keepLines w:val="0"/>
        <w:pageBreakBefore w:val="0"/>
        <w:widowControl w:val="0"/>
        <w:kinsoku/>
        <w:overflowPunct/>
        <w:autoSpaceDE/>
        <w:autoSpaceDN/>
        <w:bidi w:val="0"/>
        <w:snapToGrid w:val="0"/>
        <w:spacing w:line="520" w:lineRule="exact"/>
        <w:rPr>
          <w:rFonts w:hint="eastAsia" w:ascii="宋体" w:hAnsi="宋体" w:eastAsia="宋体" w:cs="宋体"/>
          <w:bCs/>
          <w:kern w:val="0"/>
          <w:lang w:val="en-US" w:eastAsia="zh-CN"/>
        </w:rPr>
      </w:pPr>
      <w:r>
        <w:rPr>
          <w:rFonts w:hint="eastAsia"/>
          <w:lang w:val="en-US" w:eastAsia="zh-CN"/>
        </w:rPr>
        <w:t>供应商不得在递交截止时间起至响应文件有效期期满前撤销其响应文件，否则将认定其响应文件有效期的承诺为虚假承诺，并依法追究其法律责任</w:t>
      </w:r>
      <w:r>
        <w:rPr>
          <w:rFonts w:hint="eastAsia" w:ascii="宋体" w:hAnsi="宋体" w:eastAsia="宋体" w:cs="宋体"/>
          <w:bCs/>
          <w:kern w:val="0"/>
          <w:lang w:val="en-US" w:eastAsia="zh-CN"/>
        </w:rPr>
        <w:t>。</w:t>
      </w:r>
    </w:p>
    <w:p w14:paraId="1E10B76C">
      <w:pPr>
        <w:pStyle w:val="40"/>
        <w:keepNext w:val="0"/>
        <w:keepLines w:val="0"/>
        <w:pageBreakBefore w:val="0"/>
        <w:widowControl w:val="0"/>
        <w:kinsoku/>
        <w:wordWrap w:val="0"/>
        <w:overflowPunct/>
        <w:topLinePunct/>
        <w:autoSpaceDE/>
        <w:autoSpaceDN/>
        <w:bidi w:val="0"/>
        <w:adjustRightInd w:val="0"/>
        <w:snapToGrid w:val="0"/>
        <w:spacing w:before="157" w:beforeLines="50" w:after="157" w:afterLines="50" w:line="520" w:lineRule="exact"/>
        <w:ind w:firstLine="0" w:firstLineChars="0"/>
        <w:jc w:val="center"/>
        <w:textAlignment w:val="auto"/>
        <w:rPr>
          <w:rFonts w:hint="eastAsia" w:ascii="宋体" w:hAnsi="宋体" w:eastAsia="宋体" w:cstheme="minorBidi"/>
          <w:b/>
          <w:kern w:val="2"/>
          <w:sz w:val="36"/>
          <w:szCs w:val="36"/>
          <w:lang w:val="en-US" w:eastAsia="zh-CN" w:bidi="ar-SA"/>
        </w:rPr>
      </w:pPr>
      <w:bookmarkStart w:id="127" w:name="_Toc9626"/>
      <w:bookmarkStart w:id="128" w:name="_Toc29699"/>
      <w:bookmarkStart w:id="129" w:name="_Toc6332"/>
      <w:bookmarkStart w:id="130" w:name="_Toc23809"/>
      <w:bookmarkStart w:id="131" w:name="_Toc6947"/>
      <w:bookmarkStart w:id="132" w:name="_Toc6138"/>
      <w:bookmarkStart w:id="133" w:name="_Toc5914"/>
      <w:r>
        <w:rPr>
          <w:rFonts w:hint="eastAsia" w:ascii="宋体" w:hAnsi="宋体" w:eastAsia="宋体" w:cstheme="minorBidi"/>
          <w:b/>
          <w:kern w:val="2"/>
          <w:sz w:val="36"/>
          <w:szCs w:val="36"/>
          <w:lang w:val="en-US" w:eastAsia="zh-CN" w:bidi="ar-SA"/>
        </w:rPr>
        <w:t>磋商会</w:t>
      </w:r>
      <w:bookmarkEnd w:id="127"/>
      <w:bookmarkEnd w:id="128"/>
      <w:bookmarkEnd w:id="129"/>
      <w:bookmarkEnd w:id="130"/>
    </w:p>
    <w:p w14:paraId="3B397CCC">
      <w:pPr>
        <w:pStyle w:val="38"/>
        <w:keepNext w:val="0"/>
        <w:keepLines w:val="0"/>
        <w:pageBreakBefore w:val="0"/>
        <w:widowControl w:val="0"/>
        <w:numPr>
          <w:ilvl w:val="1"/>
          <w:numId w:val="11"/>
        </w:numPr>
        <w:kinsoku/>
        <w:wordWrap w:val="0"/>
        <w:overflowPunct/>
        <w:topLinePunct/>
        <w:autoSpaceDE/>
        <w:autoSpaceDN/>
        <w:bidi w:val="0"/>
        <w:adjustRightInd w:val="0"/>
        <w:snapToGrid w:val="0"/>
        <w:spacing w:line="520" w:lineRule="exact"/>
        <w:textAlignment w:val="auto"/>
        <w:outlineLvl w:val="2"/>
        <w:rPr>
          <w:rFonts w:hint="eastAsia"/>
          <w:b/>
          <w:bCs/>
          <w:lang w:val="en-US" w:eastAsia="zh-CN"/>
        </w:rPr>
      </w:pPr>
      <w:bookmarkStart w:id="134" w:name="_Toc29277"/>
      <w:bookmarkStart w:id="135" w:name="_Toc32000"/>
      <w:bookmarkStart w:id="136" w:name="_Toc166"/>
      <w:r>
        <w:rPr>
          <w:rFonts w:hint="eastAsia"/>
          <w:b/>
          <w:bCs/>
          <w:lang w:val="en-US" w:eastAsia="zh-CN"/>
        </w:rPr>
        <w:t>磋商会人员</w:t>
      </w:r>
      <w:bookmarkEnd w:id="134"/>
      <w:bookmarkEnd w:id="135"/>
      <w:bookmarkEnd w:id="136"/>
    </w:p>
    <w:p w14:paraId="6652B7EB">
      <w:pPr>
        <w:pStyle w:val="51"/>
        <w:keepNext w:val="0"/>
        <w:keepLines w:val="0"/>
        <w:pageBreakBefore w:val="0"/>
        <w:widowControl w:val="0"/>
        <w:kinsoku/>
        <w:overflowPunct/>
        <w:autoSpaceDE/>
        <w:autoSpaceDN/>
        <w:bidi w:val="0"/>
        <w:snapToGrid w:val="0"/>
        <w:spacing w:line="520" w:lineRule="exact"/>
        <w:rPr>
          <w:rFonts w:hint="eastAsia"/>
        </w:rPr>
      </w:pPr>
      <w:r>
        <w:rPr>
          <w:rFonts w:hint="eastAsia"/>
        </w:rPr>
        <w:t>采购代理机构在</w:t>
      </w:r>
      <w:r>
        <w:rPr>
          <w:rFonts w:hint="eastAsia"/>
          <w:lang w:val="en-US" w:eastAsia="zh-CN"/>
        </w:rPr>
        <w:t>竞争性磋商</w:t>
      </w:r>
      <w:r>
        <w:rPr>
          <w:rFonts w:hint="eastAsia"/>
        </w:rPr>
        <w:t>文件规定的时间和地点组织</w:t>
      </w:r>
      <w:r>
        <w:rPr>
          <w:rFonts w:hint="eastAsia"/>
          <w:lang w:val="en-US" w:eastAsia="zh-CN"/>
        </w:rPr>
        <w:t>磋商</w:t>
      </w:r>
      <w:r>
        <w:rPr>
          <w:rFonts w:hint="eastAsia"/>
        </w:rPr>
        <w:t>，采购人、</w:t>
      </w:r>
      <w:r>
        <w:rPr>
          <w:rFonts w:hint="eastAsia"/>
          <w:lang w:val="en-US" w:eastAsia="zh-CN"/>
        </w:rPr>
        <w:t>供应商</w:t>
      </w:r>
      <w:r>
        <w:rPr>
          <w:rFonts w:hint="eastAsia"/>
        </w:rPr>
        <w:t>须派</w:t>
      </w:r>
      <w:r>
        <w:rPr>
          <w:rFonts w:hint="eastAsia"/>
          <w:lang w:val="en-US" w:eastAsia="zh-CN"/>
        </w:rPr>
        <w:t>授权</w:t>
      </w:r>
      <w:r>
        <w:rPr>
          <w:rFonts w:hint="eastAsia"/>
        </w:rPr>
        <w:t>代表参加并签到以证明其出席</w:t>
      </w:r>
      <w:r>
        <w:rPr>
          <w:rFonts w:hint="eastAsia"/>
          <w:lang w:eastAsia="zh-CN"/>
        </w:rPr>
        <w:t>，</w:t>
      </w:r>
      <w:r>
        <w:rPr>
          <w:rFonts w:hint="eastAsia"/>
          <w:lang w:val="en-US" w:eastAsia="zh-CN"/>
        </w:rPr>
        <w:t>磋商会由</w:t>
      </w:r>
      <w:r>
        <w:rPr>
          <w:rFonts w:hint="eastAsia"/>
          <w:lang w:eastAsia="zh-CN"/>
        </w:rPr>
        <w:t>采购代理机构主持</w:t>
      </w:r>
      <w:r>
        <w:rPr>
          <w:rFonts w:hint="eastAsia"/>
        </w:rPr>
        <w:t>。</w:t>
      </w:r>
    </w:p>
    <w:p w14:paraId="1D7D73A0">
      <w:pPr>
        <w:pStyle w:val="38"/>
        <w:keepNext w:val="0"/>
        <w:keepLines w:val="0"/>
        <w:pageBreakBefore w:val="0"/>
        <w:widowControl w:val="0"/>
        <w:numPr>
          <w:ilvl w:val="1"/>
          <w:numId w:val="11"/>
        </w:numPr>
        <w:kinsoku/>
        <w:wordWrap w:val="0"/>
        <w:overflowPunct/>
        <w:topLinePunct/>
        <w:autoSpaceDE/>
        <w:autoSpaceDN/>
        <w:bidi w:val="0"/>
        <w:adjustRightInd w:val="0"/>
        <w:snapToGrid w:val="0"/>
        <w:spacing w:line="520" w:lineRule="exact"/>
        <w:textAlignment w:val="auto"/>
        <w:outlineLvl w:val="2"/>
        <w:rPr>
          <w:rFonts w:hint="eastAsia"/>
          <w:b/>
          <w:bCs/>
          <w:lang w:val="en-US" w:eastAsia="zh-CN"/>
        </w:rPr>
      </w:pPr>
      <w:bookmarkStart w:id="137" w:name="_Toc31855"/>
      <w:bookmarkStart w:id="138" w:name="_Toc25988"/>
      <w:bookmarkStart w:id="139" w:name="_Toc8353"/>
      <w:r>
        <w:rPr>
          <w:rFonts w:hint="eastAsia"/>
          <w:b/>
          <w:bCs/>
          <w:lang w:val="en-US" w:eastAsia="zh-CN"/>
        </w:rPr>
        <w:t>磋商会内容</w:t>
      </w:r>
      <w:bookmarkEnd w:id="137"/>
      <w:bookmarkEnd w:id="138"/>
      <w:bookmarkEnd w:id="139"/>
    </w:p>
    <w:p w14:paraId="5838E44B">
      <w:pPr>
        <w:pStyle w:val="51"/>
        <w:keepNext w:val="0"/>
        <w:keepLines w:val="0"/>
        <w:pageBreakBefore w:val="0"/>
        <w:widowControl w:val="0"/>
        <w:kinsoku/>
        <w:overflowPunct/>
        <w:autoSpaceDE/>
        <w:autoSpaceDN/>
        <w:bidi w:val="0"/>
        <w:snapToGrid w:val="0"/>
        <w:spacing w:line="520" w:lineRule="exact"/>
        <w:rPr>
          <w:rFonts w:hint="eastAsia"/>
        </w:rPr>
      </w:pPr>
      <w:r>
        <w:rPr>
          <w:rFonts w:hint="eastAsia"/>
          <w:lang w:val="en-US" w:eastAsia="zh-CN"/>
        </w:rPr>
        <w:t>磋商会</w:t>
      </w:r>
      <w:r>
        <w:rPr>
          <w:rFonts w:hint="eastAsia"/>
        </w:rPr>
        <w:t>主持人按照</w:t>
      </w:r>
      <w:r>
        <w:rPr>
          <w:rFonts w:hint="eastAsia"/>
          <w:lang w:val="en-US" w:eastAsia="zh-CN"/>
        </w:rPr>
        <w:t>磋商</w:t>
      </w:r>
      <w:r>
        <w:rPr>
          <w:rFonts w:hint="eastAsia"/>
        </w:rPr>
        <w:t>文件规定</w:t>
      </w:r>
      <w:r>
        <w:rPr>
          <w:rFonts w:hint="eastAsia"/>
          <w:lang w:val="en-US" w:eastAsia="zh-CN"/>
        </w:rPr>
        <w:t>宣布响应文件递交截止时间</w:t>
      </w:r>
      <w:r>
        <w:rPr>
          <w:rFonts w:hint="eastAsia"/>
        </w:rPr>
        <w:t>，按照规定主持</w:t>
      </w:r>
      <w:r>
        <w:rPr>
          <w:rFonts w:hint="eastAsia"/>
          <w:lang w:val="en-US" w:eastAsia="zh-CN"/>
        </w:rPr>
        <w:t>磋商会</w:t>
      </w:r>
      <w:r>
        <w:rPr>
          <w:rFonts w:hint="eastAsia"/>
        </w:rPr>
        <w:t>。将按以下程序进行：</w:t>
      </w:r>
    </w:p>
    <w:p w14:paraId="291ABF81">
      <w:pPr>
        <w:pStyle w:val="41"/>
        <w:keepNext w:val="0"/>
        <w:keepLines w:val="0"/>
        <w:pageBreakBefore w:val="0"/>
        <w:widowControl w:val="0"/>
        <w:kinsoku/>
        <w:overflowPunct/>
        <w:autoSpaceDE/>
        <w:autoSpaceDN/>
        <w:bidi w:val="0"/>
        <w:snapToGrid w:val="0"/>
        <w:spacing w:line="520" w:lineRule="exact"/>
        <w:rPr>
          <w:rFonts w:hint="eastAsia"/>
        </w:rPr>
      </w:pPr>
      <w:r>
        <w:rPr>
          <w:rFonts w:hint="eastAsia"/>
        </w:rPr>
        <w:t>宣布</w:t>
      </w:r>
      <w:r>
        <w:rPr>
          <w:rFonts w:hint="eastAsia"/>
          <w:lang w:val="en-US" w:eastAsia="zh-CN"/>
        </w:rPr>
        <w:t>磋商会</w:t>
      </w:r>
      <w:r>
        <w:rPr>
          <w:rFonts w:hint="eastAsia"/>
        </w:rPr>
        <w:t>开始。</w:t>
      </w:r>
      <w:r>
        <w:rPr>
          <w:rFonts w:hint="eastAsia"/>
          <w:lang w:val="en-US" w:eastAsia="zh-CN"/>
        </w:rPr>
        <w:t>响应文件递交截止</w:t>
      </w:r>
      <w:r>
        <w:rPr>
          <w:rFonts w:hint="eastAsia"/>
        </w:rPr>
        <w:t>时间</w:t>
      </w:r>
      <w:r>
        <w:rPr>
          <w:rFonts w:hint="eastAsia"/>
          <w:lang w:val="en-US" w:eastAsia="zh-CN"/>
        </w:rPr>
        <w:t>已</w:t>
      </w:r>
      <w:r>
        <w:rPr>
          <w:rFonts w:hint="eastAsia"/>
        </w:rPr>
        <w:t>到，主持人宣布</w:t>
      </w:r>
      <w:r>
        <w:rPr>
          <w:rFonts w:hint="eastAsia"/>
          <w:lang w:val="en-US" w:eastAsia="zh-CN"/>
        </w:rPr>
        <w:t>磋商会</w:t>
      </w:r>
      <w:r>
        <w:rPr>
          <w:rFonts w:hint="eastAsia"/>
        </w:rPr>
        <w:t>开始并致辞</w:t>
      </w:r>
      <w:r>
        <w:rPr>
          <w:rFonts w:hint="eastAsia"/>
          <w:lang w:eastAsia="zh-CN"/>
        </w:rPr>
        <w:t>；</w:t>
      </w:r>
    </w:p>
    <w:p w14:paraId="10C48D7A">
      <w:pPr>
        <w:pStyle w:val="41"/>
        <w:keepNext w:val="0"/>
        <w:keepLines w:val="0"/>
        <w:pageBreakBefore w:val="0"/>
        <w:widowControl w:val="0"/>
        <w:kinsoku/>
        <w:overflowPunct/>
        <w:autoSpaceDE/>
        <w:autoSpaceDN/>
        <w:bidi w:val="0"/>
        <w:snapToGrid w:val="0"/>
        <w:spacing w:line="520" w:lineRule="exact"/>
        <w:rPr>
          <w:rFonts w:hint="eastAsia"/>
        </w:rPr>
      </w:pPr>
      <w:r>
        <w:rPr>
          <w:rFonts w:hint="eastAsia"/>
        </w:rPr>
        <w:t>宣布会场纪律和有关注意事项</w:t>
      </w:r>
      <w:r>
        <w:rPr>
          <w:rFonts w:hint="eastAsia"/>
          <w:lang w:eastAsia="zh-CN"/>
        </w:rPr>
        <w:t>；</w:t>
      </w:r>
    </w:p>
    <w:p w14:paraId="544A36BD">
      <w:pPr>
        <w:pStyle w:val="41"/>
        <w:keepNext w:val="0"/>
        <w:keepLines w:val="0"/>
        <w:pageBreakBefore w:val="0"/>
        <w:widowControl w:val="0"/>
        <w:kinsoku/>
        <w:overflowPunct/>
        <w:autoSpaceDE/>
        <w:autoSpaceDN/>
        <w:bidi w:val="0"/>
        <w:snapToGrid w:val="0"/>
        <w:spacing w:line="520" w:lineRule="exact"/>
        <w:rPr>
          <w:rFonts w:hint="eastAsia"/>
        </w:rPr>
      </w:pPr>
      <w:r>
        <w:rPr>
          <w:rFonts w:hint="eastAsia"/>
          <w:lang w:val="en-US" w:eastAsia="zh-CN"/>
        </w:rPr>
        <w:t>确认响应</w:t>
      </w:r>
      <w:r>
        <w:rPr>
          <w:rFonts w:hint="eastAsia"/>
        </w:rPr>
        <w:t>文件的密封情况</w:t>
      </w:r>
      <w:r>
        <w:rPr>
          <w:rFonts w:hint="eastAsia"/>
          <w:lang w:eastAsia="zh-CN"/>
        </w:rPr>
        <w:t>，</w:t>
      </w:r>
      <w:r>
        <w:rPr>
          <w:rFonts w:hint="eastAsia"/>
          <w:lang w:val="en-US" w:eastAsia="zh-CN"/>
        </w:rPr>
        <w:t>是指供应商</w:t>
      </w:r>
      <w:r>
        <w:rPr>
          <w:rFonts w:hint="eastAsia"/>
        </w:rPr>
        <w:t>确认自己递交的</w:t>
      </w:r>
      <w:r>
        <w:rPr>
          <w:rFonts w:hint="eastAsia"/>
          <w:lang w:val="en-US" w:eastAsia="zh-CN"/>
        </w:rPr>
        <w:t>响应</w:t>
      </w:r>
      <w:r>
        <w:rPr>
          <w:rFonts w:hint="eastAsia"/>
        </w:rPr>
        <w:t>文件的密封情况，不代表对其他</w:t>
      </w:r>
      <w:r>
        <w:rPr>
          <w:rFonts w:hint="eastAsia"/>
          <w:lang w:val="en-US" w:eastAsia="zh-CN"/>
        </w:rPr>
        <w:t>供应商</w:t>
      </w:r>
      <w:r>
        <w:rPr>
          <w:rFonts w:hint="eastAsia"/>
        </w:rPr>
        <w:t>的</w:t>
      </w:r>
      <w:r>
        <w:rPr>
          <w:rFonts w:hint="eastAsia"/>
          <w:lang w:val="en-US" w:eastAsia="zh-CN"/>
        </w:rPr>
        <w:t>响应</w:t>
      </w:r>
      <w:r>
        <w:rPr>
          <w:rFonts w:hint="eastAsia"/>
        </w:rPr>
        <w:t>文件的密封情况确认。</w:t>
      </w:r>
      <w:r>
        <w:rPr>
          <w:rFonts w:hint="eastAsia"/>
          <w:lang w:val="en-US" w:eastAsia="zh-CN"/>
        </w:rPr>
        <w:t>供应商</w:t>
      </w:r>
      <w:r>
        <w:rPr>
          <w:rFonts w:hint="eastAsia"/>
        </w:rPr>
        <w:t>或者其推选的代表对其他</w:t>
      </w:r>
      <w:r>
        <w:rPr>
          <w:rFonts w:hint="eastAsia"/>
          <w:lang w:val="en-US" w:eastAsia="zh-CN"/>
        </w:rPr>
        <w:t>供应商</w:t>
      </w:r>
      <w:r>
        <w:rPr>
          <w:rFonts w:hint="eastAsia"/>
        </w:rPr>
        <w:t>的</w:t>
      </w:r>
      <w:r>
        <w:rPr>
          <w:rFonts w:hint="eastAsia"/>
          <w:lang w:val="en-US" w:eastAsia="zh-CN"/>
        </w:rPr>
        <w:t>响应</w:t>
      </w:r>
      <w:r>
        <w:rPr>
          <w:rFonts w:hint="eastAsia"/>
        </w:rPr>
        <w:t>文件密封情况有异议的，可以</w:t>
      </w:r>
      <w:r>
        <w:rPr>
          <w:rFonts w:hint="eastAsia"/>
          <w:highlight w:val="none"/>
        </w:rPr>
        <w:t>当场</w:t>
      </w:r>
      <w:r>
        <w:rPr>
          <w:rFonts w:hint="eastAsia"/>
          <w:highlight w:val="none"/>
          <w:lang w:val="en-US" w:eastAsia="zh-CN"/>
        </w:rPr>
        <w:t>向会议</w:t>
      </w:r>
      <w:r>
        <w:rPr>
          <w:rFonts w:hint="eastAsia"/>
          <w:highlight w:val="none"/>
        </w:rPr>
        <w:t>主持人或者现场监督人员反映，要</w:t>
      </w:r>
      <w:r>
        <w:rPr>
          <w:rFonts w:hint="eastAsia"/>
        </w:rPr>
        <w:t>求现场记录人员予以记录，但不得干扰、阻挠</w:t>
      </w:r>
      <w:r>
        <w:rPr>
          <w:rFonts w:hint="eastAsia"/>
          <w:lang w:val="en-US" w:eastAsia="zh-CN"/>
        </w:rPr>
        <w:t>磋商会议</w:t>
      </w:r>
      <w:r>
        <w:rPr>
          <w:rFonts w:hint="eastAsia"/>
        </w:rPr>
        <w:t>工作的正常进行；</w:t>
      </w:r>
    </w:p>
    <w:p w14:paraId="258ACE7D">
      <w:pPr>
        <w:pStyle w:val="41"/>
        <w:keepNext w:val="0"/>
        <w:keepLines w:val="0"/>
        <w:pageBreakBefore w:val="0"/>
        <w:widowControl w:val="0"/>
        <w:kinsoku/>
        <w:overflowPunct/>
        <w:autoSpaceDE/>
        <w:autoSpaceDN/>
        <w:bidi w:val="0"/>
        <w:snapToGrid w:val="0"/>
        <w:spacing w:line="520" w:lineRule="exact"/>
        <w:rPr>
          <w:rFonts w:hint="eastAsia"/>
        </w:rPr>
      </w:pPr>
      <w:r>
        <w:rPr>
          <w:rFonts w:hint="eastAsia"/>
          <w:lang w:val="en-US" w:eastAsia="zh-CN"/>
        </w:rPr>
        <w:t>供应商</w:t>
      </w:r>
      <w:r>
        <w:rPr>
          <w:rFonts w:hint="eastAsia"/>
        </w:rPr>
        <w:t>或者其推选的代表需现场对</w:t>
      </w:r>
      <w:r>
        <w:rPr>
          <w:rFonts w:hint="eastAsia"/>
          <w:lang w:val="en-US" w:eastAsia="zh-CN"/>
        </w:rPr>
        <w:t>磋商会议</w:t>
      </w:r>
      <w:r>
        <w:rPr>
          <w:rFonts w:hint="eastAsia"/>
        </w:rPr>
        <w:t>记录进行签字确认经确认无误后，由采购代理机构工作人员宣布</w:t>
      </w:r>
      <w:r>
        <w:rPr>
          <w:rFonts w:hint="eastAsia"/>
          <w:lang w:val="en-US" w:eastAsia="zh-CN"/>
        </w:rPr>
        <w:t>磋商纪律</w:t>
      </w:r>
      <w:r>
        <w:rPr>
          <w:rFonts w:hint="eastAsia"/>
        </w:rPr>
        <w:t>，并由</w:t>
      </w:r>
      <w:r>
        <w:rPr>
          <w:rFonts w:hint="eastAsia"/>
          <w:lang w:val="en-US" w:eastAsia="zh-CN"/>
        </w:rPr>
        <w:t>供应商</w:t>
      </w:r>
      <w:r>
        <w:rPr>
          <w:rFonts w:hint="eastAsia"/>
        </w:rPr>
        <w:t>签字确认</w:t>
      </w:r>
      <w:r>
        <w:rPr>
          <w:rFonts w:hint="eastAsia"/>
          <w:lang w:eastAsia="zh-CN"/>
        </w:rPr>
        <w:t>；</w:t>
      </w:r>
    </w:p>
    <w:p w14:paraId="44F5685D">
      <w:pPr>
        <w:pStyle w:val="41"/>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lang w:val="en-US" w:eastAsia="zh-CN"/>
        </w:rPr>
        <w:t>供应商</w:t>
      </w:r>
      <w:r>
        <w:rPr>
          <w:rFonts w:hint="eastAsia"/>
        </w:rPr>
        <w:t>不足3家的，</w:t>
      </w:r>
      <w:r>
        <w:rPr>
          <w:rFonts w:hint="eastAsia"/>
          <w:lang w:val="en-US" w:eastAsia="zh-CN"/>
        </w:rPr>
        <w:t>终止采购活动</w:t>
      </w:r>
      <w:r>
        <w:rPr>
          <w:rFonts w:hint="eastAsia"/>
        </w:rPr>
        <w:t>，并退回</w:t>
      </w:r>
      <w:r>
        <w:rPr>
          <w:rFonts w:hint="eastAsia"/>
          <w:lang w:val="en-US" w:eastAsia="zh-CN"/>
        </w:rPr>
        <w:t>响应</w:t>
      </w:r>
      <w:r>
        <w:rPr>
          <w:rFonts w:hint="eastAsia"/>
        </w:rPr>
        <w:t>文件</w:t>
      </w:r>
      <w:r>
        <w:rPr>
          <w:rFonts w:hint="eastAsia"/>
          <w:lang w:eastAsia="zh-CN"/>
        </w:rPr>
        <w:t>；</w:t>
      </w:r>
    </w:p>
    <w:p w14:paraId="76AEB477">
      <w:pPr>
        <w:pStyle w:val="41"/>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lang w:val="en-US" w:eastAsia="zh-CN"/>
        </w:rPr>
        <w:t>宣布磋商会结束。所有供应商代表应立即退场。同时所有供应商应保持通讯设备的畅通，以方便进行下一步的磋商活动和在评审过程中评审委员会要求供应商对响应文件的必要澄清、说明或者更正。评审结果供应商在“西南石油大学采购信息网(http://cwcggl.swpu.edu.cn/index.chtml)”查询。</w:t>
      </w:r>
    </w:p>
    <w:bookmarkEnd w:id="131"/>
    <w:bookmarkEnd w:id="132"/>
    <w:bookmarkEnd w:id="133"/>
    <w:p w14:paraId="49AC4C5A">
      <w:pPr>
        <w:pStyle w:val="38"/>
        <w:keepNext w:val="0"/>
        <w:keepLines w:val="0"/>
        <w:pageBreakBefore w:val="0"/>
        <w:widowControl w:val="0"/>
        <w:numPr>
          <w:ilvl w:val="1"/>
          <w:numId w:val="11"/>
        </w:numPr>
        <w:kinsoku/>
        <w:wordWrap w:val="0"/>
        <w:overflowPunct/>
        <w:topLinePunct/>
        <w:autoSpaceDE/>
        <w:autoSpaceDN/>
        <w:bidi w:val="0"/>
        <w:adjustRightInd w:val="0"/>
        <w:snapToGrid w:val="0"/>
        <w:spacing w:line="520" w:lineRule="exact"/>
        <w:textAlignment w:val="auto"/>
        <w:outlineLvl w:val="2"/>
        <w:rPr>
          <w:rFonts w:hint="eastAsia"/>
          <w:b/>
          <w:bCs/>
          <w:lang w:val="en-US" w:eastAsia="zh-CN"/>
        </w:rPr>
      </w:pPr>
      <w:bookmarkStart w:id="140" w:name="_Toc10036"/>
      <w:bookmarkStart w:id="141" w:name="_Toc6773"/>
      <w:bookmarkStart w:id="142" w:name="_Toc10055"/>
      <w:bookmarkStart w:id="143" w:name="_Toc10103"/>
      <w:r>
        <w:rPr>
          <w:rFonts w:hint="eastAsia"/>
          <w:b/>
          <w:bCs/>
          <w:lang w:val="en-US" w:eastAsia="zh-CN"/>
        </w:rPr>
        <w:t>电子监控档案</w:t>
      </w:r>
      <w:bookmarkEnd w:id="140"/>
      <w:bookmarkEnd w:id="141"/>
      <w:bookmarkEnd w:id="142"/>
      <w:bookmarkEnd w:id="143"/>
    </w:p>
    <w:p w14:paraId="2256C147">
      <w:pPr>
        <w:pStyle w:val="38"/>
        <w:keepNext w:val="0"/>
        <w:keepLines w:val="0"/>
        <w:pageBreakBefore w:val="0"/>
        <w:widowControl w:val="0"/>
        <w:numPr>
          <w:ilvl w:val="1"/>
          <w:numId w:val="0"/>
        </w:numPr>
        <w:kinsoku/>
        <w:overflowPunct/>
        <w:autoSpaceDE/>
        <w:autoSpaceDN/>
        <w:bidi w:val="0"/>
        <w:snapToGrid w:val="0"/>
        <w:spacing w:line="520" w:lineRule="exact"/>
        <w:ind w:leftChars="200"/>
        <w:rPr>
          <w:rFonts w:hint="eastAsia"/>
        </w:rPr>
      </w:pPr>
      <w:r>
        <w:rPr>
          <w:rFonts w:hint="eastAsia"/>
          <w:lang w:val="en-US" w:eastAsia="zh-CN"/>
        </w:rPr>
        <w:t>本项目磋商会</w:t>
      </w:r>
      <w:r>
        <w:rPr>
          <w:rFonts w:hint="eastAsia"/>
        </w:rPr>
        <w:t>和评</w:t>
      </w:r>
      <w:r>
        <w:rPr>
          <w:rFonts w:hint="eastAsia"/>
          <w:lang w:val="en-US" w:eastAsia="zh-CN"/>
        </w:rPr>
        <w:t>审</w:t>
      </w:r>
      <w:r>
        <w:rPr>
          <w:rFonts w:hint="eastAsia"/>
        </w:rPr>
        <w:t>过程进行全过程电子监控，并将电子监控资料存储介质留存归档。</w:t>
      </w:r>
    </w:p>
    <w:p w14:paraId="01A8CB91">
      <w:pPr>
        <w:pStyle w:val="40"/>
        <w:keepNext w:val="0"/>
        <w:keepLines w:val="0"/>
        <w:pageBreakBefore w:val="0"/>
        <w:widowControl w:val="0"/>
        <w:kinsoku/>
        <w:wordWrap w:val="0"/>
        <w:overflowPunct/>
        <w:topLinePunct/>
        <w:autoSpaceDE/>
        <w:autoSpaceDN/>
        <w:bidi w:val="0"/>
        <w:adjustRightInd w:val="0"/>
        <w:snapToGrid w:val="0"/>
        <w:spacing w:before="157" w:beforeLines="50" w:after="157" w:afterLines="50" w:line="520" w:lineRule="exact"/>
        <w:ind w:firstLine="0" w:firstLineChars="0"/>
        <w:jc w:val="center"/>
        <w:textAlignment w:val="auto"/>
        <w:rPr>
          <w:rFonts w:hint="eastAsia" w:ascii="宋体" w:hAnsi="宋体" w:eastAsia="宋体" w:cstheme="minorBidi"/>
          <w:b/>
          <w:kern w:val="2"/>
          <w:sz w:val="36"/>
          <w:szCs w:val="36"/>
          <w:lang w:val="en-US" w:eastAsia="zh-CN" w:bidi="ar-SA"/>
        </w:rPr>
      </w:pPr>
      <w:bookmarkStart w:id="144" w:name="_Toc32344"/>
      <w:bookmarkStart w:id="145" w:name="_Toc6210"/>
      <w:bookmarkStart w:id="146" w:name="_Toc31404"/>
      <w:bookmarkStart w:id="147" w:name="_Toc5015"/>
      <w:bookmarkStart w:id="148" w:name="_Toc14786"/>
      <w:bookmarkStart w:id="149" w:name="_Toc8117"/>
      <w:bookmarkStart w:id="150" w:name="_Toc11904"/>
      <w:bookmarkStart w:id="151" w:name="_Toc12604"/>
      <w:r>
        <w:rPr>
          <w:rFonts w:hint="eastAsia" w:ascii="宋体" w:hAnsi="宋体" w:eastAsia="宋体" w:cstheme="minorBidi"/>
          <w:b/>
          <w:kern w:val="2"/>
          <w:sz w:val="36"/>
          <w:szCs w:val="36"/>
          <w:lang w:val="en-US" w:eastAsia="zh-CN" w:bidi="ar-SA"/>
        </w:rPr>
        <w:t>成交事项</w:t>
      </w:r>
      <w:bookmarkEnd w:id="144"/>
      <w:bookmarkEnd w:id="145"/>
      <w:bookmarkEnd w:id="146"/>
      <w:bookmarkEnd w:id="147"/>
    </w:p>
    <w:bookmarkEnd w:id="148"/>
    <w:bookmarkEnd w:id="149"/>
    <w:bookmarkEnd w:id="150"/>
    <w:bookmarkEnd w:id="151"/>
    <w:p w14:paraId="03D42ECA">
      <w:pPr>
        <w:pStyle w:val="55"/>
        <w:keepNext w:val="0"/>
        <w:keepLines w:val="0"/>
        <w:pageBreakBefore w:val="0"/>
        <w:widowControl w:val="0"/>
        <w:kinsoku/>
        <w:overflowPunct/>
        <w:autoSpaceDE/>
        <w:autoSpaceDN/>
        <w:bidi w:val="0"/>
        <w:snapToGrid w:val="0"/>
        <w:spacing w:line="520" w:lineRule="exact"/>
        <w:rPr>
          <w:rFonts w:hint="eastAsia"/>
        </w:rPr>
      </w:pPr>
      <w:bookmarkStart w:id="152" w:name="_Toc16799"/>
      <w:bookmarkStart w:id="153" w:name="_Toc20655"/>
      <w:bookmarkStart w:id="154" w:name="_Toc27841"/>
      <w:bookmarkStart w:id="155" w:name="_Toc7111"/>
      <w:r>
        <w:rPr>
          <w:rFonts w:hint="eastAsia"/>
        </w:rPr>
        <w:t>确定成交</w:t>
      </w:r>
      <w:bookmarkEnd w:id="152"/>
      <w:r>
        <w:rPr>
          <w:rFonts w:hint="eastAsia"/>
          <w:lang w:val="en-US" w:eastAsia="zh-CN"/>
        </w:rPr>
        <w:t>供应商</w:t>
      </w:r>
      <w:bookmarkEnd w:id="153"/>
      <w:bookmarkEnd w:id="154"/>
      <w:bookmarkEnd w:id="155"/>
    </w:p>
    <w:p w14:paraId="57046611">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采购代理机构应当在评审结束后2个工作日内将评审报告送采购人确认。</w:t>
      </w:r>
    </w:p>
    <w:p w14:paraId="4A16F1F5">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本项目</w:t>
      </w:r>
      <w:r>
        <w:rPr>
          <w:rFonts w:hint="eastAsia"/>
          <w:lang w:val="en-US" w:eastAsia="zh-CN"/>
        </w:rPr>
        <w:t>采购人</w:t>
      </w:r>
      <w:r>
        <w:rPr>
          <w:rFonts w:hint="eastAsia"/>
        </w:rPr>
        <w:t>根据</w:t>
      </w:r>
      <w:r>
        <w:rPr>
          <w:rFonts w:hint="eastAsia"/>
          <w:lang w:val="en-US" w:eastAsia="zh-CN"/>
        </w:rPr>
        <w:t>磋商小组</w:t>
      </w:r>
      <w:r>
        <w:rPr>
          <w:rFonts w:hint="eastAsia"/>
        </w:rPr>
        <w:t>推荐的</w:t>
      </w:r>
      <w:r>
        <w:rPr>
          <w:rFonts w:hint="eastAsia"/>
          <w:lang w:val="en-US" w:eastAsia="zh-CN"/>
        </w:rPr>
        <w:t>成交</w:t>
      </w:r>
      <w:r>
        <w:rPr>
          <w:rFonts w:hint="eastAsia"/>
        </w:rPr>
        <w:t>候选人名单，按顺序确定</w:t>
      </w:r>
      <w:r>
        <w:rPr>
          <w:rFonts w:hint="eastAsia"/>
          <w:lang w:val="en-US" w:eastAsia="zh-CN"/>
        </w:rPr>
        <w:t>成交供应商</w:t>
      </w:r>
      <w:r>
        <w:rPr>
          <w:rFonts w:hint="eastAsia"/>
          <w:lang w:eastAsia="zh-CN"/>
        </w:rPr>
        <w:t>。</w:t>
      </w:r>
      <w:r>
        <w:rPr>
          <w:rFonts w:hint="eastAsia"/>
        </w:rPr>
        <w:t>如果</w:t>
      </w:r>
      <w:r>
        <w:rPr>
          <w:rFonts w:hint="eastAsia"/>
          <w:lang w:val="en-US" w:eastAsia="zh-CN"/>
        </w:rPr>
        <w:t>成交</w:t>
      </w:r>
      <w:r>
        <w:rPr>
          <w:rFonts w:hint="eastAsia"/>
        </w:rPr>
        <w:t>候选人及其现任法定代表人、主要负责人存在行贿犯罪记录，采购人将不确定其为</w:t>
      </w:r>
      <w:r>
        <w:rPr>
          <w:rFonts w:hint="eastAsia"/>
          <w:lang w:val="en-US" w:eastAsia="zh-CN"/>
        </w:rPr>
        <w:t>成交供应商</w:t>
      </w:r>
      <w:r>
        <w:rPr>
          <w:rFonts w:hint="eastAsia"/>
        </w:rPr>
        <w:t>。采购人在确认</w:t>
      </w:r>
      <w:r>
        <w:rPr>
          <w:rFonts w:hint="eastAsia"/>
          <w:lang w:val="en-US" w:eastAsia="zh-CN"/>
        </w:rPr>
        <w:t>成交</w:t>
      </w:r>
      <w:r>
        <w:rPr>
          <w:rFonts w:hint="eastAsia"/>
        </w:rPr>
        <w:t>供应商前，应到中国裁判文书网</w:t>
      </w:r>
      <w:r>
        <w:rPr>
          <w:rFonts w:hint="eastAsia"/>
          <w:lang w:eastAsia="zh-CN"/>
        </w:rPr>
        <w:t>(</w:t>
      </w:r>
      <w:r>
        <w:rPr>
          <w:rFonts w:hint="eastAsia"/>
        </w:rPr>
        <w:t>https://wenshu.court.gov.cn</w:t>
      </w:r>
      <w:r>
        <w:rPr>
          <w:rFonts w:hint="eastAsia"/>
          <w:lang w:eastAsia="zh-CN"/>
        </w:rPr>
        <w:t>)</w:t>
      </w:r>
      <w:r>
        <w:rPr>
          <w:rFonts w:hint="eastAsia"/>
        </w:rPr>
        <w:t>查询</w:t>
      </w:r>
      <w:r>
        <w:rPr>
          <w:rFonts w:hint="eastAsia"/>
          <w:lang w:val="en-US" w:eastAsia="zh-CN"/>
        </w:rPr>
        <w:t>成交</w:t>
      </w:r>
      <w:r>
        <w:rPr>
          <w:rFonts w:hint="eastAsia"/>
        </w:rPr>
        <w:t>候选供应商及其现任法定代表人、主要负责人是否存在行贿犯罪记录</w:t>
      </w:r>
      <w:r>
        <w:rPr>
          <w:rFonts w:hint="eastAsia"/>
          <w:lang w:eastAsia="zh-CN"/>
        </w:rPr>
        <w:t>。</w:t>
      </w:r>
    </w:p>
    <w:p w14:paraId="5838EE39">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采购人</w:t>
      </w:r>
      <w:r>
        <w:rPr>
          <w:rFonts w:hint="eastAsia"/>
          <w:color w:val="auto"/>
        </w:rPr>
        <w:t>应当在收到评审报告后5个工作日内，从评审报告提出的成交候选供应商中，按照排序由高到低的原则确定成交供应商。采购人逾期未确定成交供应商且不提出异议的，视为确定评审报告提出的排序第一的供应商为成交供应商。</w:t>
      </w:r>
    </w:p>
    <w:p w14:paraId="69C8CB96">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采购人不确定排序前一位成交候选供应商为成交供应商的，应当将不确定的理由书面告知该成交候选供应商，并在</w:t>
      </w:r>
      <w:r>
        <w:rPr>
          <w:rFonts w:hint="eastAsia"/>
          <w:lang w:eastAsia="zh-CN"/>
        </w:rPr>
        <w:t>“</w:t>
      </w:r>
      <w:r>
        <w:rPr>
          <w:rFonts w:hint="eastAsia"/>
          <w:lang w:val="en-US" w:eastAsia="zh-CN"/>
        </w:rPr>
        <w:t>西南石油大学采购信息网(http://cwcggl.swpu.edu.cn/index.chtml)</w:t>
      </w:r>
      <w:r>
        <w:rPr>
          <w:rFonts w:hint="eastAsia"/>
          <w:lang w:eastAsia="zh-CN"/>
        </w:rPr>
        <w:t>”</w:t>
      </w:r>
      <w:r>
        <w:rPr>
          <w:rFonts w:hint="eastAsia"/>
        </w:rPr>
        <w:t>公告。</w:t>
      </w:r>
    </w:p>
    <w:p w14:paraId="30B34423">
      <w:pPr>
        <w:pStyle w:val="69"/>
        <w:keepNext w:val="0"/>
        <w:keepLines w:val="0"/>
        <w:pageBreakBefore w:val="0"/>
        <w:widowControl w:val="0"/>
        <w:kinsoku/>
        <w:overflowPunct/>
        <w:autoSpaceDE/>
        <w:autoSpaceDN/>
        <w:bidi w:val="0"/>
        <w:snapToGrid w:val="0"/>
        <w:spacing w:line="520" w:lineRule="exact"/>
        <w:rPr>
          <w:rFonts w:hint="eastAsia"/>
        </w:rPr>
      </w:pPr>
      <w:r>
        <w:rPr>
          <w:rFonts w:hint="eastAsia"/>
        </w:rPr>
        <w:t>采购人依法确定不出成交供应商的，应当重新组织采购，书面告知成交候选供应商，说明理由，并在</w:t>
      </w:r>
      <w:r>
        <w:rPr>
          <w:rFonts w:hint="eastAsia"/>
          <w:lang w:eastAsia="zh-CN"/>
        </w:rPr>
        <w:t>“</w:t>
      </w:r>
      <w:r>
        <w:rPr>
          <w:rFonts w:hint="eastAsia"/>
          <w:lang w:val="en-US" w:eastAsia="zh-CN"/>
        </w:rPr>
        <w:t>西南石油大学采购信息网(http://cwcggl.swpu.edu.cn/index.chtml)</w:t>
      </w:r>
      <w:r>
        <w:rPr>
          <w:rFonts w:hint="eastAsia"/>
          <w:lang w:eastAsia="zh-CN"/>
        </w:rPr>
        <w:t>”</w:t>
      </w:r>
      <w:r>
        <w:rPr>
          <w:rFonts w:hint="eastAsia"/>
        </w:rPr>
        <w:t>公告。</w:t>
      </w:r>
    </w:p>
    <w:p w14:paraId="5710722D">
      <w:pPr>
        <w:pStyle w:val="69"/>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lang w:val="en-US" w:eastAsia="zh-CN"/>
        </w:rPr>
        <w:t>采购人确定成交供应商过程中，发现成交候选供应商有下列情形之一的，不予确定其为成交供应商：</w:t>
      </w:r>
    </w:p>
    <w:p w14:paraId="72244DC8">
      <w:pPr>
        <w:pStyle w:val="69"/>
        <w:keepNext w:val="0"/>
        <w:keepLines w:val="0"/>
        <w:pageBreakBefore w:val="0"/>
        <w:widowControl w:val="0"/>
        <w:numPr>
          <w:ilvl w:val="3"/>
          <w:numId w:val="0"/>
        </w:numPr>
        <w:kinsoku/>
        <w:overflowPunct/>
        <w:autoSpaceDE/>
        <w:autoSpaceDN/>
        <w:bidi w:val="0"/>
        <w:snapToGrid w:val="0"/>
        <w:spacing w:line="520" w:lineRule="exact"/>
        <w:ind w:leftChars="200"/>
        <w:rPr>
          <w:rFonts w:hint="eastAsia"/>
          <w:lang w:val="en-US" w:eastAsia="zh-CN"/>
        </w:rPr>
      </w:pPr>
      <w:r>
        <w:rPr>
          <w:rFonts w:hint="eastAsia"/>
          <w:lang w:val="en-US" w:eastAsia="zh-CN"/>
        </w:rPr>
        <w:t>6.1成交候选供应商属于禁止参加本项目采购活动的；</w:t>
      </w:r>
    </w:p>
    <w:p w14:paraId="7B5C54E5">
      <w:pPr>
        <w:pStyle w:val="69"/>
        <w:keepNext w:val="0"/>
        <w:keepLines w:val="0"/>
        <w:pageBreakBefore w:val="0"/>
        <w:widowControl w:val="0"/>
        <w:numPr>
          <w:ilvl w:val="3"/>
          <w:numId w:val="0"/>
        </w:numPr>
        <w:kinsoku/>
        <w:overflowPunct/>
        <w:autoSpaceDE/>
        <w:autoSpaceDN/>
        <w:bidi w:val="0"/>
        <w:snapToGrid w:val="0"/>
        <w:spacing w:line="520" w:lineRule="exact"/>
        <w:ind w:leftChars="200"/>
        <w:rPr>
          <w:rFonts w:hint="eastAsia"/>
          <w:lang w:val="en-US" w:eastAsia="zh-CN"/>
        </w:rPr>
      </w:pPr>
      <w:r>
        <w:rPr>
          <w:rFonts w:hint="eastAsia"/>
          <w:lang w:val="en-US" w:eastAsia="zh-CN"/>
        </w:rPr>
        <w:t>6.2成交候选供应商因不可抗力，不能继续参加采购活动；</w:t>
      </w:r>
    </w:p>
    <w:p w14:paraId="7AC8FCC5">
      <w:pPr>
        <w:pStyle w:val="69"/>
        <w:keepNext w:val="0"/>
        <w:keepLines w:val="0"/>
        <w:pageBreakBefore w:val="0"/>
        <w:widowControl w:val="0"/>
        <w:numPr>
          <w:ilvl w:val="3"/>
          <w:numId w:val="0"/>
        </w:numPr>
        <w:kinsoku/>
        <w:overflowPunct/>
        <w:autoSpaceDE/>
        <w:autoSpaceDN/>
        <w:bidi w:val="0"/>
        <w:snapToGrid w:val="0"/>
        <w:spacing w:line="520" w:lineRule="exact"/>
        <w:ind w:leftChars="200"/>
        <w:rPr>
          <w:rFonts w:hint="eastAsia"/>
          <w:lang w:val="en-US" w:eastAsia="zh-CN"/>
        </w:rPr>
      </w:pPr>
      <w:r>
        <w:rPr>
          <w:rFonts w:hint="eastAsia"/>
          <w:lang w:val="en-US" w:eastAsia="zh-CN"/>
        </w:rPr>
        <w:t>6.3成交候选供应商无偿赠与或者低于成本价竞争；</w:t>
      </w:r>
    </w:p>
    <w:p w14:paraId="158CF660">
      <w:pPr>
        <w:pStyle w:val="69"/>
        <w:keepNext w:val="0"/>
        <w:keepLines w:val="0"/>
        <w:pageBreakBefore w:val="0"/>
        <w:widowControl w:val="0"/>
        <w:numPr>
          <w:ilvl w:val="3"/>
          <w:numId w:val="0"/>
        </w:numPr>
        <w:kinsoku/>
        <w:overflowPunct/>
        <w:autoSpaceDE/>
        <w:autoSpaceDN/>
        <w:bidi w:val="0"/>
        <w:snapToGrid w:val="0"/>
        <w:spacing w:line="520" w:lineRule="exact"/>
        <w:ind w:leftChars="200"/>
        <w:rPr>
          <w:rFonts w:hint="eastAsia"/>
          <w:lang w:val="en-US" w:eastAsia="zh-CN"/>
        </w:rPr>
      </w:pPr>
      <w:r>
        <w:rPr>
          <w:rFonts w:hint="eastAsia"/>
          <w:lang w:val="en-US" w:eastAsia="zh-CN"/>
        </w:rPr>
        <w:t>6.4成交候选供应商提供虚假材料；</w:t>
      </w:r>
    </w:p>
    <w:p w14:paraId="7EFFA944">
      <w:pPr>
        <w:pStyle w:val="69"/>
        <w:keepNext w:val="0"/>
        <w:keepLines w:val="0"/>
        <w:pageBreakBefore w:val="0"/>
        <w:widowControl w:val="0"/>
        <w:numPr>
          <w:ilvl w:val="3"/>
          <w:numId w:val="0"/>
        </w:numPr>
        <w:kinsoku/>
        <w:overflowPunct/>
        <w:autoSpaceDE/>
        <w:autoSpaceDN/>
        <w:bidi w:val="0"/>
        <w:snapToGrid w:val="0"/>
        <w:spacing w:line="520" w:lineRule="exact"/>
        <w:ind w:leftChars="200"/>
        <w:rPr>
          <w:rFonts w:hint="eastAsia"/>
          <w:lang w:val="en-US" w:eastAsia="zh-CN"/>
        </w:rPr>
      </w:pPr>
      <w:r>
        <w:rPr>
          <w:rFonts w:hint="eastAsia"/>
          <w:lang w:val="en-US" w:eastAsia="zh-CN"/>
        </w:rPr>
        <w:t>6.5成交候选供应商恶意串通。</w:t>
      </w:r>
    </w:p>
    <w:p w14:paraId="5CB69A12">
      <w:pPr>
        <w:pStyle w:val="55"/>
        <w:keepNext w:val="0"/>
        <w:keepLines w:val="0"/>
        <w:pageBreakBefore w:val="0"/>
        <w:widowControl w:val="0"/>
        <w:kinsoku/>
        <w:overflowPunct/>
        <w:autoSpaceDE/>
        <w:autoSpaceDN/>
        <w:bidi w:val="0"/>
        <w:snapToGrid w:val="0"/>
        <w:spacing w:line="520" w:lineRule="exact"/>
        <w:rPr>
          <w:rFonts w:hint="eastAsia"/>
        </w:rPr>
      </w:pPr>
      <w:bookmarkStart w:id="156" w:name="_Toc13446"/>
      <w:bookmarkStart w:id="157" w:name="_Toc6422"/>
      <w:bookmarkStart w:id="158" w:name="_Toc17698"/>
      <w:bookmarkStart w:id="159" w:name="_Toc30426"/>
      <w:r>
        <w:rPr>
          <w:rFonts w:hint="eastAsia"/>
        </w:rPr>
        <w:t>成交</w:t>
      </w:r>
      <w:r>
        <w:rPr>
          <w:rFonts w:hint="eastAsia"/>
          <w:lang w:val="en-US" w:eastAsia="zh-CN"/>
        </w:rPr>
        <w:t>结果</w:t>
      </w:r>
      <w:bookmarkEnd w:id="156"/>
      <w:bookmarkEnd w:id="157"/>
      <w:bookmarkEnd w:id="158"/>
      <w:bookmarkEnd w:id="159"/>
    </w:p>
    <w:p w14:paraId="45279095">
      <w:pPr>
        <w:pStyle w:val="69"/>
        <w:keepNext w:val="0"/>
        <w:keepLines w:val="0"/>
        <w:pageBreakBefore w:val="0"/>
        <w:widowControl w:val="0"/>
        <w:numPr>
          <w:ilvl w:val="3"/>
          <w:numId w:val="0"/>
        </w:numPr>
        <w:kinsoku/>
        <w:wordWrap w:val="0"/>
        <w:overflowPunct/>
        <w:topLinePunct/>
        <w:autoSpaceDE/>
        <w:autoSpaceDN/>
        <w:bidi w:val="0"/>
        <w:adjustRightInd/>
        <w:snapToGrid w:val="0"/>
        <w:spacing w:line="520" w:lineRule="exact"/>
        <w:ind w:leftChars="0" w:firstLine="480" w:firstLineChars="200"/>
        <w:textAlignment w:val="auto"/>
        <w:rPr>
          <w:rFonts w:hint="eastAsia" w:ascii="宋体" w:hAnsi="宋体" w:eastAsia="宋体"/>
          <w:lang w:val="en-US" w:eastAsia="zh-CN"/>
        </w:rPr>
      </w:pPr>
      <w:bookmarkStart w:id="160" w:name="_Toc7224"/>
      <w:r>
        <w:rPr>
          <w:rFonts w:hint="eastAsia" w:ascii="宋体" w:hAnsi="宋体" w:eastAsia="宋体"/>
          <w:lang w:val="en-US" w:eastAsia="zh-CN"/>
        </w:rPr>
        <w:t>采购代理机构在成交供应商确定后2个工作日内，在“</w:t>
      </w:r>
      <w:r>
        <w:rPr>
          <w:rFonts w:hint="eastAsia"/>
          <w:lang w:val="en-US" w:eastAsia="zh-CN"/>
        </w:rPr>
        <w:t>西南石油大学采购信息网(http://cwcggl.swpu.edu.cn/index.chtml)</w:t>
      </w:r>
      <w:r>
        <w:rPr>
          <w:rFonts w:hint="eastAsia" w:ascii="宋体" w:hAnsi="宋体" w:eastAsia="宋体"/>
          <w:lang w:val="en-US" w:eastAsia="zh-CN"/>
        </w:rPr>
        <w:t>”发布成交公告，同时采购代理机构将成交通知书发至成交供应商。</w:t>
      </w:r>
    </w:p>
    <w:p w14:paraId="56B0B862">
      <w:pPr>
        <w:pStyle w:val="55"/>
        <w:keepNext w:val="0"/>
        <w:keepLines w:val="0"/>
        <w:pageBreakBefore w:val="0"/>
        <w:widowControl w:val="0"/>
        <w:kinsoku/>
        <w:overflowPunct/>
        <w:autoSpaceDE/>
        <w:autoSpaceDN/>
        <w:bidi w:val="0"/>
        <w:snapToGrid w:val="0"/>
        <w:spacing w:line="520" w:lineRule="exact"/>
        <w:rPr>
          <w:rFonts w:hint="eastAsia" w:ascii="宋体" w:hAnsi="宋体" w:eastAsia="宋体"/>
        </w:rPr>
      </w:pPr>
      <w:bookmarkStart w:id="161" w:name="_Toc10034"/>
      <w:bookmarkStart w:id="162" w:name="_Toc19542"/>
      <w:bookmarkStart w:id="163" w:name="_Toc31562"/>
      <w:r>
        <w:rPr>
          <w:rFonts w:hint="eastAsia" w:ascii="宋体" w:hAnsi="宋体" w:eastAsia="宋体"/>
          <w:lang w:val="en-US" w:eastAsia="zh-CN"/>
        </w:rPr>
        <w:t>成交</w:t>
      </w:r>
      <w:r>
        <w:rPr>
          <w:rFonts w:hint="eastAsia" w:ascii="宋体" w:hAnsi="宋体" w:eastAsia="宋体"/>
        </w:rPr>
        <w:t>通知书</w:t>
      </w:r>
      <w:bookmarkEnd w:id="160"/>
      <w:bookmarkEnd w:id="161"/>
      <w:bookmarkEnd w:id="162"/>
      <w:bookmarkEnd w:id="163"/>
    </w:p>
    <w:p w14:paraId="5EA3F516">
      <w:pPr>
        <w:pStyle w:val="69"/>
        <w:keepNext w:val="0"/>
        <w:keepLines w:val="0"/>
        <w:pageBreakBefore w:val="0"/>
        <w:widowControl w:val="0"/>
        <w:kinsoku/>
        <w:overflowPunct/>
        <w:autoSpaceDE/>
        <w:autoSpaceDN/>
        <w:bidi w:val="0"/>
        <w:snapToGrid w:val="0"/>
        <w:spacing w:line="520" w:lineRule="exact"/>
        <w:rPr>
          <w:rFonts w:hint="eastAsia"/>
        </w:rPr>
      </w:pPr>
      <w:r>
        <w:rPr>
          <w:rFonts w:hint="eastAsia"/>
          <w:lang w:val="en-US" w:eastAsia="zh-CN"/>
        </w:rPr>
        <w:t>成交</w:t>
      </w:r>
      <w:r>
        <w:rPr>
          <w:rFonts w:hint="eastAsia"/>
        </w:rPr>
        <w:t>通知书为签订采购合同的依据之一，是合同的有效组成部分。</w:t>
      </w:r>
    </w:p>
    <w:p w14:paraId="3BBADA46">
      <w:pPr>
        <w:pStyle w:val="69"/>
        <w:keepNext w:val="0"/>
        <w:keepLines w:val="0"/>
        <w:pageBreakBefore w:val="0"/>
        <w:widowControl w:val="0"/>
        <w:kinsoku/>
        <w:overflowPunct/>
        <w:autoSpaceDE/>
        <w:autoSpaceDN/>
        <w:bidi w:val="0"/>
        <w:snapToGrid w:val="0"/>
        <w:spacing w:line="520" w:lineRule="exact"/>
        <w:rPr>
          <w:rFonts w:hint="eastAsia"/>
        </w:rPr>
      </w:pPr>
      <w:r>
        <w:rPr>
          <w:rFonts w:hint="eastAsia"/>
          <w:lang w:val="en-US" w:eastAsia="zh-CN"/>
        </w:rPr>
        <w:t>成交</w:t>
      </w:r>
      <w:r>
        <w:rPr>
          <w:rFonts w:hint="eastAsia"/>
        </w:rPr>
        <w:t>通知书对采购人和</w:t>
      </w:r>
      <w:r>
        <w:rPr>
          <w:rFonts w:hint="eastAsia"/>
          <w:lang w:val="en-US" w:eastAsia="zh-CN"/>
        </w:rPr>
        <w:t>成交供应商</w:t>
      </w:r>
      <w:r>
        <w:rPr>
          <w:rFonts w:hint="eastAsia"/>
        </w:rPr>
        <w:t>均具有法律效力。</w:t>
      </w:r>
      <w:r>
        <w:rPr>
          <w:rFonts w:hint="eastAsia"/>
          <w:lang w:val="en-US" w:eastAsia="zh-CN"/>
        </w:rPr>
        <w:t>成交</w:t>
      </w:r>
      <w:r>
        <w:rPr>
          <w:rFonts w:hint="eastAsia"/>
        </w:rPr>
        <w:t>通知书发出后，采购人改变</w:t>
      </w:r>
      <w:r>
        <w:rPr>
          <w:rFonts w:hint="eastAsia"/>
          <w:lang w:val="en-US" w:eastAsia="zh-CN"/>
        </w:rPr>
        <w:t>成交</w:t>
      </w:r>
      <w:r>
        <w:rPr>
          <w:rFonts w:hint="eastAsia"/>
        </w:rPr>
        <w:t>结果，或者</w:t>
      </w:r>
      <w:r>
        <w:rPr>
          <w:rFonts w:hint="eastAsia"/>
          <w:lang w:val="en-US" w:eastAsia="zh-CN"/>
        </w:rPr>
        <w:t>成交供应商</w:t>
      </w:r>
      <w:r>
        <w:rPr>
          <w:rFonts w:hint="eastAsia"/>
        </w:rPr>
        <w:t>无正当理由放弃</w:t>
      </w:r>
      <w:r>
        <w:rPr>
          <w:rFonts w:hint="eastAsia"/>
          <w:lang w:val="en-US" w:eastAsia="zh-CN"/>
        </w:rPr>
        <w:t>成交</w:t>
      </w:r>
      <w:r>
        <w:rPr>
          <w:rFonts w:hint="eastAsia"/>
        </w:rPr>
        <w:t>的，应当承担相应的法律责任。</w:t>
      </w:r>
    </w:p>
    <w:p w14:paraId="55916122">
      <w:pPr>
        <w:pStyle w:val="69"/>
        <w:keepNext w:val="0"/>
        <w:keepLines w:val="0"/>
        <w:pageBreakBefore w:val="0"/>
        <w:widowControl w:val="0"/>
        <w:kinsoku/>
        <w:overflowPunct/>
        <w:autoSpaceDE/>
        <w:autoSpaceDN/>
        <w:bidi w:val="0"/>
        <w:snapToGrid w:val="0"/>
        <w:spacing w:line="520" w:lineRule="exact"/>
        <w:rPr>
          <w:rFonts w:hint="eastAsia"/>
        </w:rPr>
      </w:pPr>
      <w:r>
        <w:rPr>
          <w:rFonts w:hint="eastAsia"/>
          <w:lang w:val="en-US" w:eastAsia="zh-CN"/>
        </w:rPr>
        <w:t>成交供应商</w:t>
      </w:r>
      <w:r>
        <w:rPr>
          <w:rFonts w:hint="eastAsia"/>
        </w:rPr>
        <w:t>的</w:t>
      </w:r>
      <w:r>
        <w:rPr>
          <w:rFonts w:hint="eastAsia"/>
          <w:lang w:val="en-US" w:eastAsia="zh-CN"/>
        </w:rPr>
        <w:t>响应</w:t>
      </w:r>
      <w:r>
        <w:rPr>
          <w:rFonts w:hint="eastAsia"/>
        </w:rPr>
        <w:t>文件本应作为无效</w:t>
      </w:r>
      <w:r>
        <w:rPr>
          <w:rFonts w:hint="eastAsia"/>
          <w:lang w:val="en-US" w:eastAsia="zh-CN"/>
        </w:rPr>
        <w:t>响应</w:t>
      </w:r>
      <w:r>
        <w:rPr>
          <w:rFonts w:hint="eastAsia"/>
        </w:rPr>
        <w:t>处理或者有采购法律法规规章制度规定的</w:t>
      </w:r>
      <w:r>
        <w:rPr>
          <w:rFonts w:hint="eastAsia"/>
          <w:lang w:val="en-US" w:eastAsia="zh-CN"/>
        </w:rPr>
        <w:t>成交</w:t>
      </w:r>
      <w:r>
        <w:rPr>
          <w:rFonts w:hint="eastAsia"/>
        </w:rPr>
        <w:t>无效情形的，</w:t>
      </w:r>
      <w:r>
        <w:rPr>
          <w:rFonts w:hint="eastAsia"/>
          <w:lang w:val="en-US" w:eastAsia="zh-CN"/>
        </w:rPr>
        <w:t>采购人和采购代理机构</w:t>
      </w:r>
      <w:r>
        <w:rPr>
          <w:rFonts w:hint="eastAsia"/>
        </w:rPr>
        <w:t>在取得有权主体的认定以后，将宣布发出的</w:t>
      </w:r>
      <w:r>
        <w:rPr>
          <w:rFonts w:hint="eastAsia"/>
          <w:lang w:val="en-US" w:eastAsia="zh-CN"/>
        </w:rPr>
        <w:t>成交</w:t>
      </w:r>
      <w:r>
        <w:rPr>
          <w:rFonts w:hint="eastAsia"/>
        </w:rPr>
        <w:t>通知书无效，并收回发出的</w:t>
      </w:r>
      <w:r>
        <w:rPr>
          <w:rFonts w:hint="eastAsia"/>
          <w:lang w:val="en-US" w:eastAsia="zh-CN"/>
        </w:rPr>
        <w:t>成交</w:t>
      </w:r>
      <w:r>
        <w:rPr>
          <w:rFonts w:hint="eastAsia"/>
        </w:rPr>
        <w:t>通知书</w:t>
      </w:r>
      <w:r>
        <w:rPr>
          <w:rFonts w:hint="eastAsia"/>
          <w:lang w:eastAsia="zh-CN"/>
        </w:rPr>
        <w:t>(</w:t>
      </w:r>
      <w:r>
        <w:rPr>
          <w:rFonts w:hint="eastAsia"/>
          <w:lang w:val="en-US" w:eastAsia="zh-CN"/>
        </w:rPr>
        <w:t>成交供应商</w:t>
      </w:r>
      <w:r>
        <w:rPr>
          <w:rFonts w:hint="eastAsia"/>
        </w:rPr>
        <w:t>也应当缴回</w:t>
      </w:r>
      <w:r>
        <w:rPr>
          <w:rFonts w:hint="eastAsia"/>
          <w:lang w:eastAsia="zh-CN"/>
        </w:rPr>
        <w:t>)</w:t>
      </w:r>
      <w:r>
        <w:rPr>
          <w:rFonts w:hint="eastAsia"/>
        </w:rPr>
        <w:t>，依法重新确定</w:t>
      </w:r>
      <w:r>
        <w:rPr>
          <w:rFonts w:hint="eastAsia"/>
          <w:lang w:val="en-US" w:eastAsia="zh-CN"/>
        </w:rPr>
        <w:t>成交供应商</w:t>
      </w:r>
      <w:r>
        <w:rPr>
          <w:rFonts w:hint="eastAsia"/>
        </w:rPr>
        <w:t>或者重新开展采购活动。</w:t>
      </w:r>
    </w:p>
    <w:p w14:paraId="44EB103E">
      <w:pPr>
        <w:pStyle w:val="69"/>
        <w:keepNext w:val="0"/>
        <w:keepLines w:val="0"/>
        <w:pageBreakBefore w:val="0"/>
        <w:widowControl w:val="0"/>
        <w:kinsoku/>
        <w:overflowPunct/>
        <w:autoSpaceDE/>
        <w:autoSpaceDN/>
        <w:bidi w:val="0"/>
        <w:snapToGrid w:val="0"/>
        <w:spacing w:line="520" w:lineRule="exact"/>
        <w:rPr>
          <w:rFonts w:hint="eastAsia"/>
        </w:rPr>
      </w:pPr>
      <w:r>
        <w:rPr>
          <w:rFonts w:hint="eastAsia" w:cs="宋体"/>
          <w:highlight w:val="none"/>
          <w:lang w:val="en-US" w:eastAsia="zh-CN"/>
        </w:rPr>
        <w:t>供应商应主动关注西南石油大学采购信息网(http://cwcggl.swpu.edu.cn/index.chtml)公告信息</w:t>
      </w:r>
      <w:r>
        <w:rPr>
          <w:rFonts w:hint="eastAsia" w:cs="宋体"/>
          <w:highlight w:val="none"/>
          <w:lang w:val="zh-CN"/>
        </w:rPr>
        <w:t>，</w:t>
      </w:r>
      <w:r>
        <w:rPr>
          <w:rFonts w:hint="eastAsia" w:cs="宋体"/>
          <w:highlight w:val="none"/>
          <w:lang w:val="en-US" w:eastAsia="zh-CN"/>
        </w:rPr>
        <w:t>积极配合代理机构办理成交通知书事宜。</w:t>
      </w:r>
      <w:r>
        <w:rPr>
          <w:rFonts w:hint="eastAsia"/>
          <w:highlight w:val="none"/>
          <w:lang w:val="en-US" w:eastAsia="zh-CN"/>
        </w:rPr>
        <w:t>逾期未主动领取</w:t>
      </w:r>
      <w:r>
        <w:rPr>
          <w:rFonts w:hint="eastAsia" w:cs="宋体"/>
          <w:highlight w:val="none"/>
          <w:lang w:val="en-US" w:eastAsia="zh-CN"/>
        </w:rPr>
        <w:t>成交</w:t>
      </w:r>
      <w:r>
        <w:rPr>
          <w:rFonts w:hint="eastAsia" w:cs="宋体"/>
          <w:highlight w:val="none"/>
          <w:lang w:val="zh-CN"/>
        </w:rPr>
        <w:t>通知书</w:t>
      </w:r>
      <w:r>
        <w:rPr>
          <w:rFonts w:hint="eastAsia" w:cs="宋体"/>
          <w:highlight w:val="none"/>
          <w:lang w:val="en-US" w:eastAsia="zh-CN"/>
        </w:rPr>
        <w:t>或不配合代理机构发出成交通知书</w:t>
      </w:r>
      <w:r>
        <w:rPr>
          <w:rFonts w:hint="eastAsia" w:cs="宋体"/>
          <w:highlight w:val="none"/>
          <w:lang w:val="zh-CN"/>
        </w:rPr>
        <w:t>的</w:t>
      </w:r>
      <w:r>
        <w:rPr>
          <w:rFonts w:hint="eastAsia" w:cs="宋体"/>
          <w:highlight w:val="none"/>
          <w:lang w:val="en-US" w:eastAsia="zh-CN"/>
        </w:rPr>
        <w:t>一切不利后果由成交供应商自行承担。</w:t>
      </w:r>
    </w:p>
    <w:p w14:paraId="4568DBE0">
      <w:pPr>
        <w:pStyle w:val="40"/>
        <w:keepNext w:val="0"/>
        <w:keepLines w:val="0"/>
        <w:pageBreakBefore w:val="0"/>
        <w:widowControl w:val="0"/>
        <w:kinsoku/>
        <w:wordWrap w:val="0"/>
        <w:overflowPunct/>
        <w:topLinePunct/>
        <w:autoSpaceDE/>
        <w:autoSpaceDN/>
        <w:bidi w:val="0"/>
        <w:adjustRightInd w:val="0"/>
        <w:snapToGrid w:val="0"/>
        <w:spacing w:before="157" w:beforeLines="50" w:after="157" w:afterLines="50" w:line="520" w:lineRule="exact"/>
        <w:ind w:firstLine="0" w:firstLineChars="0"/>
        <w:jc w:val="center"/>
        <w:textAlignment w:val="auto"/>
        <w:rPr>
          <w:rFonts w:hint="default" w:ascii="宋体" w:hAnsi="宋体" w:eastAsia="宋体" w:cstheme="minorBidi"/>
          <w:b/>
          <w:kern w:val="2"/>
          <w:sz w:val="36"/>
          <w:szCs w:val="36"/>
          <w:lang w:val="en-US" w:eastAsia="zh-CN" w:bidi="ar-SA"/>
        </w:rPr>
      </w:pPr>
      <w:bookmarkStart w:id="164" w:name="_Toc29192"/>
      <w:bookmarkStart w:id="165" w:name="_Toc14865"/>
      <w:bookmarkStart w:id="166" w:name="_Toc32557"/>
      <w:bookmarkStart w:id="167" w:name="_Toc13058"/>
      <w:r>
        <w:rPr>
          <w:rFonts w:hint="eastAsia" w:ascii="宋体" w:hAnsi="宋体" w:eastAsia="宋体" w:cstheme="minorBidi"/>
          <w:b/>
          <w:kern w:val="2"/>
          <w:sz w:val="36"/>
          <w:szCs w:val="36"/>
          <w:lang w:val="en-US" w:eastAsia="zh-CN" w:bidi="ar-SA"/>
        </w:rPr>
        <w:t>合同事项</w:t>
      </w:r>
      <w:bookmarkEnd w:id="164"/>
      <w:bookmarkEnd w:id="165"/>
      <w:bookmarkEnd w:id="166"/>
      <w:bookmarkEnd w:id="167"/>
    </w:p>
    <w:p w14:paraId="456E8056">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168" w:name="_Toc22144"/>
      <w:bookmarkStart w:id="169" w:name="_Toc8081"/>
      <w:bookmarkStart w:id="170" w:name="_Toc12400"/>
      <w:bookmarkStart w:id="171" w:name="_Toc29970"/>
      <w:bookmarkStart w:id="172" w:name="_Toc19462"/>
      <w:r>
        <w:rPr>
          <w:rFonts w:hint="eastAsia"/>
          <w:lang w:val="en-US" w:eastAsia="zh-CN"/>
        </w:rPr>
        <w:t>签订合同</w:t>
      </w:r>
      <w:bookmarkEnd w:id="168"/>
      <w:bookmarkEnd w:id="169"/>
      <w:bookmarkEnd w:id="170"/>
      <w:bookmarkEnd w:id="171"/>
    </w:p>
    <w:p w14:paraId="75BE2550">
      <w:pPr>
        <w:pStyle w:val="41"/>
        <w:keepNext w:val="0"/>
        <w:keepLines w:val="0"/>
        <w:pageBreakBefore w:val="0"/>
        <w:widowControl w:val="0"/>
        <w:kinsoku/>
        <w:overflowPunct/>
        <w:autoSpaceDE/>
        <w:autoSpaceDN/>
        <w:bidi w:val="0"/>
        <w:snapToGrid w:val="0"/>
        <w:spacing w:line="520" w:lineRule="exact"/>
        <w:rPr>
          <w:rFonts w:hint="eastAsia"/>
        </w:rPr>
      </w:pPr>
      <w:r>
        <w:rPr>
          <w:rFonts w:hint="eastAsia"/>
          <w:highlight w:val="none"/>
          <w:lang w:val="en-US" w:eastAsia="zh-CN"/>
        </w:rPr>
        <w:t>成交供应商</w:t>
      </w:r>
      <w:r>
        <w:rPr>
          <w:rFonts w:hint="eastAsia"/>
          <w:highlight w:val="none"/>
        </w:rPr>
        <w:t>应在</w:t>
      </w:r>
      <w:r>
        <w:rPr>
          <w:rFonts w:hint="eastAsia"/>
          <w:highlight w:val="none"/>
          <w:lang w:val="en-US" w:eastAsia="zh-CN"/>
        </w:rPr>
        <w:t>成交</w:t>
      </w:r>
      <w:r>
        <w:rPr>
          <w:rFonts w:hint="eastAsia"/>
          <w:highlight w:val="none"/>
        </w:rPr>
        <w:t>通知书发出</w:t>
      </w:r>
      <w:r>
        <w:rPr>
          <w:rFonts w:hint="eastAsia"/>
          <w:lang w:val="en-US" w:eastAsia="zh-CN"/>
        </w:rPr>
        <w:t>后，按照磋商文件第五章相关要求与</w:t>
      </w:r>
      <w:r>
        <w:rPr>
          <w:rFonts w:hint="eastAsia"/>
          <w:highlight w:val="none"/>
        </w:rPr>
        <w:t>采购人签订采购合同</w:t>
      </w:r>
      <w:r>
        <w:rPr>
          <w:rFonts w:hint="eastAsia"/>
        </w:rPr>
        <w:t>。由于成交供应商的原因逾期未与采购人签订采购合同的，将视为放弃成交，取消其成交资格并将按相关规定进行处理。</w:t>
      </w:r>
      <w:r>
        <w:rPr>
          <w:rFonts w:hint="eastAsia"/>
          <w:highlight w:val="none"/>
          <w:lang w:val="en-US" w:eastAsia="zh-Hans"/>
        </w:rPr>
        <w:t>若因采购人的原因未与</w:t>
      </w:r>
      <w:r>
        <w:rPr>
          <w:rFonts w:hint="eastAsia"/>
          <w:highlight w:val="none"/>
          <w:lang w:val="en-US" w:eastAsia="zh-CN"/>
        </w:rPr>
        <w:t>成交供应商</w:t>
      </w:r>
      <w:r>
        <w:rPr>
          <w:rFonts w:hint="eastAsia"/>
          <w:highlight w:val="none"/>
          <w:lang w:val="en-US" w:eastAsia="zh-Hans"/>
        </w:rPr>
        <w:t>签订合同</w:t>
      </w:r>
      <w:r>
        <w:rPr>
          <w:rFonts w:hint="default"/>
          <w:highlight w:val="none"/>
          <w:lang w:eastAsia="zh-Hans"/>
        </w:rPr>
        <w:t>，</w:t>
      </w:r>
      <w:r>
        <w:rPr>
          <w:rFonts w:hint="eastAsia"/>
          <w:highlight w:val="none"/>
          <w:lang w:val="en-US" w:eastAsia="zh-Hans"/>
        </w:rPr>
        <w:t>采购人将向</w:t>
      </w:r>
      <w:r>
        <w:rPr>
          <w:rFonts w:hint="eastAsia"/>
          <w:highlight w:val="none"/>
          <w:lang w:val="en-US" w:eastAsia="zh-CN"/>
        </w:rPr>
        <w:t>成交供应商</w:t>
      </w:r>
      <w:r>
        <w:rPr>
          <w:rFonts w:hint="eastAsia"/>
          <w:highlight w:val="none"/>
          <w:lang w:val="en-US" w:eastAsia="zh-Hans"/>
        </w:rPr>
        <w:t>支付</w:t>
      </w:r>
      <w:r>
        <w:rPr>
          <w:rFonts w:hint="eastAsia"/>
          <w:highlight w:val="none"/>
          <w:lang w:val="en-US" w:eastAsia="zh-CN"/>
        </w:rPr>
        <w:t>成交供应商</w:t>
      </w:r>
      <w:r>
        <w:rPr>
          <w:rFonts w:hint="eastAsia"/>
          <w:highlight w:val="none"/>
          <w:lang w:val="en-US" w:eastAsia="zh-Hans"/>
        </w:rPr>
        <w:t>因本次采购事宜产生的标书制作等直接费用</w:t>
      </w:r>
      <w:r>
        <w:rPr>
          <w:rFonts w:hint="default"/>
          <w:highlight w:val="none"/>
          <w:lang w:eastAsia="zh-Hans"/>
        </w:rPr>
        <w:t>。</w:t>
      </w:r>
    </w:p>
    <w:p w14:paraId="14D7E3F7">
      <w:pPr>
        <w:pStyle w:val="41"/>
        <w:keepNext w:val="0"/>
        <w:keepLines w:val="0"/>
        <w:pageBreakBefore w:val="0"/>
        <w:widowControl w:val="0"/>
        <w:kinsoku/>
        <w:overflowPunct/>
        <w:autoSpaceDE/>
        <w:autoSpaceDN/>
        <w:bidi w:val="0"/>
        <w:snapToGrid w:val="0"/>
        <w:spacing w:line="520" w:lineRule="exact"/>
        <w:rPr>
          <w:rFonts w:hint="eastAsia"/>
        </w:rPr>
      </w:pPr>
      <w:r>
        <w:rPr>
          <w:rFonts w:hint="eastAsia"/>
        </w:rPr>
        <w:t>采购合同应当包括采购人与</w:t>
      </w:r>
      <w:r>
        <w:rPr>
          <w:rFonts w:hint="eastAsia"/>
          <w:lang w:val="en-US" w:eastAsia="zh-CN"/>
        </w:rPr>
        <w:t>成交供应商</w:t>
      </w:r>
      <w:r>
        <w:rPr>
          <w:rFonts w:hint="eastAsia"/>
        </w:rPr>
        <w:t>的名称和住所、标的、数量、质量、价款或者报酬、履行期限及地点和方式、验收要求、违约责任、解决争议的方法等内容。</w:t>
      </w:r>
    </w:p>
    <w:p w14:paraId="19E0AF64">
      <w:pPr>
        <w:pStyle w:val="41"/>
        <w:keepNext w:val="0"/>
        <w:keepLines w:val="0"/>
        <w:pageBreakBefore w:val="0"/>
        <w:widowControl w:val="0"/>
        <w:kinsoku/>
        <w:overflowPunct/>
        <w:autoSpaceDE/>
        <w:autoSpaceDN/>
        <w:bidi w:val="0"/>
        <w:snapToGrid w:val="0"/>
        <w:spacing w:line="520" w:lineRule="exact"/>
        <w:rPr>
          <w:rFonts w:hint="eastAsia"/>
          <w:color w:val="000000" w:themeColor="text1"/>
          <w14:textFill>
            <w14:solidFill>
              <w14:schemeClr w14:val="tx1"/>
            </w14:solidFill>
          </w14:textFill>
        </w:rPr>
      </w:pPr>
      <w:r>
        <w:rPr>
          <w:rFonts w:hint="eastAsia"/>
        </w:rPr>
        <w:t>采购人不得向成交供应商提出超出磋商文件以外的任何要求作为签订合同的条件，不得与成交供应商订立背离磋商文件确定的合同文本以及采购标的、规格型号、采购金额、采购数</w:t>
      </w:r>
      <w:r>
        <w:rPr>
          <w:rFonts w:hint="eastAsia"/>
          <w:color w:val="000000" w:themeColor="text1"/>
          <w14:textFill>
            <w14:solidFill>
              <w14:schemeClr w14:val="tx1"/>
            </w14:solidFill>
          </w14:textFill>
        </w:rPr>
        <w:t>量、技术和服务要求等实质性内容的协议。</w:t>
      </w:r>
    </w:p>
    <w:p w14:paraId="396BFB56">
      <w:pPr>
        <w:pStyle w:val="41"/>
        <w:keepNext w:val="0"/>
        <w:keepLines w:val="0"/>
        <w:pageBreakBefore w:val="0"/>
        <w:widowControl w:val="0"/>
        <w:kinsoku/>
        <w:overflowPunct/>
        <w:autoSpaceDE/>
        <w:autoSpaceDN/>
        <w:bidi w:val="0"/>
        <w:snapToGrid w:val="0"/>
        <w:spacing w:line="520" w:lineRule="exact"/>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成交供应商拒绝与采购人签订合同的，采购人可以按照评审报告推荐的成交候选人名单排序，确定下一候选人为成交供应商，也可以重新开展采购活动。拒绝签订采购合同的成交供应商不得参加对该项目重新开展的采购活动</w:t>
      </w:r>
      <w:r>
        <w:rPr>
          <w:rFonts w:hint="eastAsia"/>
          <w:color w:val="000000" w:themeColor="text1"/>
          <w:lang w:eastAsia="zh-CN"/>
          <w14:textFill>
            <w14:solidFill>
              <w14:schemeClr w14:val="tx1"/>
            </w14:solidFill>
          </w14:textFill>
        </w:rPr>
        <w:t>。</w:t>
      </w:r>
    </w:p>
    <w:p w14:paraId="4BBFE166">
      <w:pPr>
        <w:pStyle w:val="41"/>
        <w:keepNext w:val="0"/>
        <w:keepLines w:val="0"/>
        <w:pageBreakBefore w:val="0"/>
        <w:widowControl w:val="0"/>
        <w:kinsoku/>
        <w:overflowPunct/>
        <w:autoSpaceDE/>
        <w:autoSpaceDN/>
        <w:bidi w:val="0"/>
        <w:snapToGrid w:val="0"/>
        <w:spacing w:line="520" w:lineRule="exact"/>
        <w:rPr>
          <w:rFonts w:hint="eastAsia"/>
        </w:rPr>
      </w:pPr>
      <w:r>
        <w:rPr>
          <w:rFonts w:hint="eastAsia"/>
          <w:color w:val="000000" w:themeColor="text1"/>
          <w:lang w:val="en-US" w:eastAsia="zh-CN"/>
          <w14:textFill>
            <w14:solidFill>
              <w14:schemeClr w14:val="tx1"/>
            </w14:solidFill>
          </w14:textFill>
        </w:rPr>
        <w:t>本项目的</w:t>
      </w:r>
      <w:r>
        <w:rPr>
          <w:rFonts w:hint="eastAsia"/>
          <w:color w:val="000000" w:themeColor="text1"/>
          <w14:textFill>
            <w14:solidFill>
              <w14:schemeClr w14:val="tx1"/>
            </w14:solidFill>
          </w14:textFill>
        </w:rPr>
        <w:t>竞争性磋商文件</w:t>
      </w:r>
      <w:r>
        <w:rPr>
          <w:rFonts w:hint="eastAsia"/>
          <w:color w:val="000000" w:themeColor="text1"/>
          <w:lang w:val="en-US" w:eastAsia="zh-CN"/>
          <w14:textFill>
            <w14:solidFill>
              <w14:schemeClr w14:val="tx1"/>
            </w14:solidFill>
          </w14:textFill>
        </w:rPr>
        <w:t>、</w:t>
      </w:r>
      <w:r>
        <w:rPr>
          <w:rFonts w:hint="eastAsia"/>
          <w:color w:val="000000" w:themeColor="text1"/>
          <w14:textFill>
            <w14:solidFill>
              <w14:schemeClr w14:val="tx1"/>
            </w14:solidFill>
          </w14:textFill>
        </w:rPr>
        <w:t>成交供应商提交的响应文件、磋商中的最后报价、成交供应</w:t>
      </w:r>
      <w:r>
        <w:rPr>
          <w:rFonts w:hint="eastAsia"/>
        </w:rPr>
        <w:t>商承诺书、成交通知书等</w:t>
      </w:r>
      <w:r>
        <w:rPr>
          <w:rFonts w:hint="eastAsia"/>
          <w:lang w:val="en-US" w:eastAsia="zh-CN"/>
        </w:rPr>
        <w:t>文件均具</w:t>
      </w:r>
      <w:r>
        <w:rPr>
          <w:rFonts w:hint="eastAsia"/>
        </w:rPr>
        <w:t>有法律约束力</w:t>
      </w:r>
      <w:r>
        <w:rPr>
          <w:rFonts w:hint="eastAsia"/>
          <w:lang w:eastAsia="zh-CN"/>
        </w:rPr>
        <w:t>，</w:t>
      </w:r>
      <w:r>
        <w:rPr>
          <w:rFonts w:hint="eastAsia"/>
          <w:lang w:val="en-US" w:eastAsia="zh-CN"/>
        </w:rPr>
        <w:t>属于</w:t>
      </w:r>
      <w:r>
        <w:rPr>
          <w:rFonts w:hint="eastAsia"/>
        </w:rPr>
        <w:t>合同组成</w:t>
      </w:r>
      <w:r>
        <w:rPr>
          <w:rFonts w:hint="eastAsia"/>
          <w:lang w:val="en-US" w:eastAsia="zh-CN"/>
        </w:rPr>
        <w:t>部分</w:t>
      </w:r>
      <w:r>
        <w:rPr>
          <w:rFonts w:hint="eastAsia"/>
          <w:lang w:eastAsia="zh-CN"/>
        </w:rPr>
        <w:t>。</w:t>
      </w:r>
    </w:p>
    <w:p w14:paraId="14C3699E">
      <w:pPr>
        <w:pStyle w:val="41"/>
        <w:keepNext w:val="0"/>
        <w:keepLines w:val="0"/>
        <w:pageBreakBefore w:val="0"/>
        <w:widowControl w:val="0"/>
        <w:kinsoku/>
        <w:overflowPunct/>
        <w:autoSpaceDE/>
        <w:autoSpaceDN/>
        <w:bidi w:val="0"/>
        <w:snapToGrid w:val="0"/>
        <w:spacing w:line="520" w:lineRule="exact"/>
        <w:rPr>
          <w:rFonts w:hint="eastAsia"/>
        </w:rPr>
      </w:pPr>
      <w:r>
        <w:rPr>
          <w:rFonts w:hint="eastAsia"/>
          <w:b/>
          <w:bCs/>
          <w:lang w:val="en-US" w:eastAsia="zh-CN"/>
        </w:rPr>
        <w:t>成交供应商</w:t>
      </w:r>
      <w:r>
        <w:rPr>
          <w:rFonts w:hint="eastAsia"/>
          <w:b/>
          <w:bCs/>
        </w:rPr>
        <w:t>在</w:t>
      </w:r>
      <w:r>
        <w:rPr>
          <w:rFonts w:hint="eastAsia"/>
          <w:b/>
          <w:bCs/>
          <w:lang w:val="en-US" w:eastAsia="zh-CN"/>
        </w:rPr>
        <w:t>采购</w:t>
      </w:r>
      <w:r>
        <w:rPr>
          <w:rFonts w:hint="eastAsia"/>
          <w:b/>
          <w:bCs/>
        </w:rPr>
        <w:t>合同签订之后</w:t>
      </w:r>
      <w:r>
        <w:rPr>
          <w:rFonts w:hint="eastAsia"/>
          <w:b/>
          <w:bCs/>
          <w:lang w:val="en-US" w:eastAsia="zh-CN"/>
        </w:rPr>
        <w:t>2</w:t>
      </w:r>
      <w:r>
        <w:rPr>
          <w:rFonts w:hint="eastAsia"/>
          <w:b/>
          <w:bCs/>
        </w:rPr>
        <w:t>个工作日内，将签订的</w:t>
      </w:r>
      <w:r>
        <w:rPr>
          <w:rFonts w:hint="eastAsia"/>
          <w:b/>
          <w:bCs/>
          <w:lang w:val="en-US" w:eastAsia="zh-CN"/>
        </w:rPr>
        <w:t>采购</w:t>
      </w:r>
      <w:r>
        <w:rPr>
          <w:rFonts w:hint="eastAsia"/>
          <w:b/>
          <w:bCs/>
        </w:rPr>
        <w:t>合同送</w:t>
      </w:r>
      <w:r>
        <w:rPr>
          <w:rFonts w:hint="eastAsia"/>
          <w:b/>
          <w:bCs/>
          <w:lang w:val="en-US" w:eastAsia="zh-CN"/>
        </w:rPr>
        <w:t>采购代理机构</w:t>
      </w:r>
      <w:r>
        <w:rPr>
          <w:rFonts w:hint="eastAsia"/>
          <w:b/>
          <w:bCs/>
        </w:rPr>
        <w:t>进行</w:t>
      </w:r>
      <w:r>
        <w:rPr>
          <w:rFonts w:hint="eastAsia"/>
          <w:b/>
          <w:bCs/>
          <w:lang w:val="en-US" w:eastAsia="zh-CN"/>
        </w:rPr>
        <w:t>归档留存</w:t>
      </w:r>
      <w:r>
        <w:rPr>
          <w:rFonts w:hint="eastAsia"/>
          <w:lang w:val="en-US" w:eastAsia="zh-CN"/>
        </w:rPr>
        <w:t>(也可将签订的采购合同扫描成PDF格式版本发送至</w:t>
      </w:r>
      <w:r>
        <w:rPr>
          <w:rFonts w:hint="eastAsia"/>
          <w:lang w:val="en-US" w:eastAsia="zh-CN"/>
        </w:rPr>
        <w:fldChar w:fldCharType="begin"/>
      </w:r>
      <w:r>
        <w:rPr>
          <w:rFonts w:hint="eastAsia"/>
          <w:lang w:val="en-US" w:eastAsia="zh-CN"/>
        </w:rPr>
        <w:instrText xml:space="preserve"> HYPERLINK "mailto:scqxzb@163.com" </w:instrText>
      </w:r>
      <w:r>
        <w:rPr>
          <w:rFonts w:hint="eastAsia"/>
          <w:lang w:val="en-US" w:eastAsia="zh-CN"/>
        </w:rPr>
        <w:fldChar w:fldCharType="separate"/>
      </w:r>
      <w:r>
        <w:rPr>
          <w:rFonts w:hint="eastAsia"/>
          <w:lang w:val="en-US" w:eastAsia="zh-CN"/>
        </w:rPr>
        <w:t>scqxzb@163.com</w:t>
      </w:r>
      <w:r>
        <w:rPr>
          <w:rFonts w:hint="eastAsia"/>
          <w:lang w:val="en-US" w:eastAsia="zh-CN"/>
        </w:rPr>
        <w:fldChar w:fldCharType="end"/>
      </w:r>
      <w:r>
        <w:rPr>
          <w:rFonts w:hint="eastAsia"/>
          <w:lang w:val="en-US" w:eastAsia="zh-CN"/>
        </w:rPr>
        <w:t>，邮件命名为“采购合同-项目名称-供应商名称”)</w:t>
      </w:r>
      <w:r>
        <w:rPr>
          <w:rFonts w:hint="eastAsia"/>
        </w:rPr>
        <w:t>。</w:t>
      </w:r>
    </w:p>
    <w:p w14:paraId="5A18D84A">
      <w:pPr>
        <w:pStyle w:val="55"/>
        <w:keepNext w:val="0"/>
        <w:keepLines w:val="0"/>
        <w:pageBreakBefore w:val="0"/>
        <w:widowControl w:val="0"/>
        <w:kinsoku/>
        <w:overflowPunct/>
        <w:autoSpaceDE/>
        <w:autoSpaceDN/>
        <w:bidi w:val="0"/>
        <w:snapToGrid w:val="0"/>
        <w:spacing w:line="520" w:lineRule="exact"/>
        <w:rPr>
          <w:rFonts w:hint="eastAsia"/>
          <w:color w:val="auto"/>
          <w:lang w:val="en-US" w:eastAsia="zh-CN"/>
        </w:rPr>
      </w:pPr>
      <w:bookmarkStart w:id="173" w:name="_Toc12369"/>
      <w:bookmarkStart w:id="174" w:name="_Toc9902"/>
      <w:bookmarkStart w:id="175" w:name="_Toc2425"/>
      <w:bookmarkStart w:id="176" w:name="_Toc9456"/>
      <w:r>
        <w:rPr>
          <w:rFonts w:hint="eastAsia"/>
          <w:color w:val="auto"/>
          <w:lang w:val="en-US" w:eastAsia="zh-CN"/>
        </w:rPr>
        <w:t>合同分包(实质性要求)</w:t>
      </w:r>
      <w:bookmarkEnd w:id="173"/>
      <w:bookmarkEnd w:id="174"/>
      <w:bookmarkEnd w:id="175"/>
      <w:bookmarkEnd w:id="176"/>
    </w:p>
    <w:p w14:paraId="182BF256">
      <w:pPr>
        <w:pStyle w:val="51"/>
        <w:keepNext w:val="0"/>
        <w:keepLines w:val="0"/>
        <w:pageBreakBefore w:val="0"/>
        <w:widowControl w:val="0"/>
        <w:kinsoku/>
        <w:overflowPunct/>
        <w:autoSpaceDE/>
        <w:autoSpaceDN/>
        <w:bidi w:val="0"/>
        <w:adjustRightInd w:val="0"/>
        <w:snapToGrid w:val="0"/>
        <w:spacing w:line="520" w:lineRule="exact"/>
        <w:textAlignment w:val="auto"/>
        <w:rPr>
          <w:rFonts w:hint="eastAsia" w:ascii="宋体" w:hAnsi="宋体" w:eastAsia="宋体" w:cstheme="minorBidi"/>
          <w:kern w:val="2"/>
          <w:sz w:val="24"/>
          <w:szCs w:val="24"/>
          <w:lang w:val="en-US" w:eastAsia="zh-CN" w:bidi="ar-SA"/>
        </w:rPr>
      </w:pPr>
      <w:bookmarkStart w:id="177" w:name="_Toc13796"/>
      <w:r>
        <w:rPr>
          <w:rFonts w:hint="eastAsia"/>
          <w:color w:val="auto"/>
          <w:lang w:val="en-US" w:eastAsia="zh-CN"/>
        </w:rPr>
        <w:t>本项目不允</w:t>
      </w:r>
      <w:r>
        <w:rPr>
          <w:rFonts w:hint="eastAsia"/>
          <w:color w:val="auto"/>
          <w:highlight w:val="none"/>
          <w:lang w:val="en-US" w:eastAsia="zh-CN"/>
        </w:rPr>
        <w:t>许</w:t>
      </w:r>
      <w:r>
        <w:rPr>
          <w:rFonts w:hint="eastAsia"/>
          <w:color w:val="auto"/>
          <w:lang w:val="en-US" w:eastAsia="zh-CN"/>
        </w:rPr>
        <w:t>供应商以合同</w:t>
      </w:r>
      <w:r>
        <w:rPr>
          <w:rFonts w:hint="eastAsia"/>
          <w:lang w:val="en-US" w:eastAsia="zh-CN"/>
        </w:rPr>
        <w:t>分包形式进行磋商</w:t>
      </w:r>
      <w:r>
        <w:rPr>
          <w:rFonts w:hint="eastAsia" w:ascii="宋体" w:hAnsi="宋体" w:eastAsia="宋体" w:cstheme="minorBidi"/>
          <w:kern w:val="2"/>
          <w:sz w:val="24"/>
          <w:szCs w:val="24"/>
          <w:lang w:val="en-US" w:eastAsia="zh-CN" w:bidi="ar-SA"/>
        </w:rPr>
        <w:t>。</w:t>
      </w:r>
    </w:p>
    <w:p w14:paraId="6E005F7B">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178" w:name="_Toc4250"/>
      <w:bookmarkStart w:id="179" w:name="_Toc20512"/>
      <w:bookmarkStart w:id="180" w:name="_Toc30692"/>
      <w:r>
        <w:rPr>
          <w:rFonts w:hint="eastAsia"/>
          <w:lang w:val="en-US" w:eastAsia="zh-CN"/>
        </w:rPr>
        <w:t>合同转包(实质性要求)</w:t>
      </w:r>
      <w:bookmarkEnd w:id="177"/>
      <w:bookmarkEnd w:id="178"/>
      <w:bookmarkEnd w:id="179"/>
      <w:bookmarkEnd w:id="180"/>
    </w:p>
    <w:p w14:paraId="36959916">
      <w:pPr>
        <w:pStyle w:val="69"/>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rPr>
        <w:t>本项目</w:t>
      </w:r>
      <w:r>
        <w:rPr>
          <w:rFonts w:hint="eastAsia"/>
          <w:lang w:val="en-US" w:eastAsia="zh-CN"/>
        </w:rPr>
        <w:t>禁止成交供应商</w:t>
      </w:r>
      <w:r>
        <w:rPr>
          <w:rFonts w:hint="eastAsia"/>
        </w:rPr>
        <w:t>将任何采购合同义务转包。本项目所称转包，是指</w:t>
      </w:r>
      <w:r>
        <w:rPr>
          <w:rFonts w:hint="eastAsia"/>
          <w:lang w:val="en-US" w:eastAsia="zh-CN"/>
        </w:rPr>
        <w:t>成交供应商</w:t>
      </w:r>
      <w:r>
        <w:rPr>
          <w:rFonts w:hint="eastAsia"/>
        </w:rPr>
        <w:t>将采购合同义务转让给第三人，并退出现有采购合同当事人双方的权利义务关系，受让人(即第三人)成为采购合同的另一方当事人的行为</w:t>
      </w:r>
      <w:r>
        <w:rPr>
          <w:rFonts w:hint="eastAsia"/>
          <w:lang w:val="en-US" w:eastAsia="zh-CN"/>
        </w:rPr>
        <w:t>。</w:t>
      </w:r>
    </w:p>
    <w:p w14:paraId="46A6409F">
      <w:pPr>
        <w:pStyle w:val="69"/>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lang w:val="en-US" w:eastAsia="zh-CN"/>
        </w:rPr>
        <w:t>成交供应商转包的，视同拒绝履行采购合同义务，将依法追究法律责任。</w:t>
      </w:r>
    </w:p>
    <w:p w14:paraId="5765DC6B">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181" w:name="_Toc26599"/>
      <w:bookmarkStart w:id="182" w:name="_Toc3100"/>
      <w:bookmarkStart w:id="183" w:name="_Toc27950"/>
      <w:bookmarkStart w:id="184" w:name="_Toc15099"/>
      <w:r>
        <w:rPr>
          <w:rFonts w:hint="eastAsia"/>
          <w:lang w:val="en-US" w:eastAsia="zh-CN"/>
        </w:rPr>
        <w:t>补充合同</w:t>
      </w:r>
      <w:bookmarkEnd w:id="181"/>
      <w:bookmarkEnd w:id="182"/>
      <w:bookmarkEnd w:id="183"/>
      <w:bookmarkEnd w:id="184"/>
    </w:p>
    <w:p w14:paraId="7F39BA38">
      <w:pPr>
        <w:pStyle w:val="51"/>
        <w:keepNext w:val="0"/>
        <w:keepLines w:val="0"/>
        <w:pageBreakBefore w:val="0"/>
        <w:widowControl w:val="0"/>
        <w:kinsoku/>
        <w:overflowPunct/>
        <w:autoSpaceDE/>
        <w:autoSpaceDN/>
        <w:bidi w:val="0"/>
        <w:snapToGrid w:val="0"/>
        <w:spacing w:line="520" w:lineRule="exact"/>
        <w:rPr>
          <w:rFonts w:hint="eastAsia"/>
        </w:rPr>
      </w:pPr>
      <w:r>
        <w:rPr>
          <w:rFonts w:hint="eastAsia"/>
        </w:rPr>
        <w:t>采购合同履行过程中，采购人需要追加与合同标的相同的货物或者服务的，在不改变合同其他条款的前提下，可以与</w:t>
      </w:r>
      <w:r>
        <w:rPr>
          <w:rFonts w:hint="eastAsia"/>
          <w:lang w:val="en-US" w:eastAsia="zh-CN"/>
        </w:rPr>
        <w:t>成交</w:t>
      </w:r>
      <w:r>
        <w:rPr>
          <w:rFonts w:hint="eastAsia"/>
        </w:rPr>
        <w:t>供应商协商签订补充合同，但所有补充合同的采购金额不得超过原合同采购金额的百分之十，该补充合同应当在原采购合同履行过程中，不得在原采购合同履行结束后，且采购货物、工程和服务的名称、价格、履约方式、验收标准等必须与原采购合同一致。</w:t>
      </w:r>
    </w:p>
    <w:p w14:paraId="1D5F1330">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185" w:name="_Toc2945"/>
      <w:bookmarkStart w:id="186" w:name="_Toc19111"/>
      <w:bookmarkStart w:id="187" w:name="_Toc5618"/>
      <w:bookmarkStart w:id="188" w:name="_Toc11587"/>
      <w:r>
        <w:rPr>
          <w:rFonts w:hint="eastAsia"/>
          <w:lang w:val="en-US" w:eastAsia="zh-CN"/>
        </w:rPr>
        <w:t>履行合同</w:t>
      </w:r>
      <w:bookmarkEnd w:id="185"/>
      <w:bookmarkEnd w:id="186"/>
      <w:bookmarkEnd w:id="187"/>
      <w:bookmarkEnd w:id="188"/>
    </w:p>
    <w:p w14:paraId="2785DB1F">
      <w:pPr>
        <w:pStyle w:val="69"/>
        <w:keepNext w:val="0"/>
        <w:keepLines w:val="0"/>
        <w:pageBreakBefore w:val="0"/>
        <w:widowControl w:val="0"/>
        <w:kinsoku/>
        <w:overflowPunct/>
        <w:autoSpaceDE/>
        <w:autoSpaceDN/>
        <w:bidi w:val="0"/>
        <w:snapToGrid w:val="0"/>
        <w:spacing w:line="520" w:lineRule="exact"/>
      </w:pPr>
      <w:r>
        <w:rPr>
          <w:rFonts w:hint="eastAsia"/>
          <w:lang w:val="en-US" w:eastAsia="zh-CN"/>
        </w:rPr>
        <w:t>提高采购合同签订效率。采购人应当参照采购法有关规定，在中标、成交通知书发出之日起30日内，按照采购文件确定的事项与中标、成交供应商签订采购合同。采购人因不可抗力原因迟延签订合同的，应当自不可抗力事由消除之日起7日内完成合同签订事宜。</w:t>
      </w:r>
    </w:p>
    <w:p w14:paraId="5B8FB8E6">
      <w:pPr>
        <w:pStyle w:val="69"/>
        <w:keepNext w:val="0"/>
        <w:keepLines w:val="0"/>
        <w:pageBreakBefore w:val="0"/>
        <w:widowControl w:val="0"/>
        <w:kinsoku/>
        <w:overflowPunct/>
        <w:autoSpaceDE/>
        <w:autoSpaceDN/>
        <w:bidi w:val="0"/>
        <w:snapToGrid w:val="0"/>
        <w:spacing w:line="520" w:lineRule="exact"/>
      </w:pPr>
      <w:r>
        <w:rPr>
          <w:rFonts w:hint="eastAsia"/>
        </w:rPr>
        <w:t>采购人与</w:t>
      </w:r>
      <w:r>
        <w:rPr>
          <w:rFonts w:hint="eastAsia"/>
          <w:lang w:val="en-US" w:eastAsia="zh-CN"/>
        </w:rPr>
        <w:t>成交供应商</w:t>
      </w:r>
      <w:r>
        <w:rPr>
          <w:rFonts w:hint="eastAsia"/>
        </w:rPr>
        <w:t>应当根据合同的约定依法履行合同义务</w:t>
      </w:r>
      <w:r>
        <w:rPr>
          <w:rFonts w:hint="eastAsia"/>
          <w:lang w:eastAsia="zh-CN"/>
        </w:rPr>
        <w:t>，</w:t>
      </w:r>
      <w:r>
        <w:rPr>
          <w:rFonts w:hint="eastAsia"/>
          <w:lang w:val="en-US" w:eastAsia="zh-CN"/>
        </w:rPr>
        <w:t>保证合同顺利完成</w:t>
      </w:r>
      <w:r>
        <w:rPr>
          <w:rFonts w:hint="eastAsia"/>
        </w:rPr>
        <w:t>。</w:t>
      </w:r>
    </w:p>
    <w:p w14:paraId="5B3E2387">
      <w:pPr>
        <w:pStyle w:val="69"/>
        <w:keepNext w:val="0"/>
        <w:keepLines w:val="0"/>
        <w:pageBreakBefore w:val="0"/>
        <w:widowControl w:val="0"/>
        <w:kinsoku/>
        <w:overflowPunct/>
        <w:autoSpaceDE/>
        <w:autoSpaceDN/>
        <w:bidi w:val="0"/>
        <w:snapToGrid w:val="0"/>
        <w:spacing w:line="520" w:lineRule="exact"/>
        <w:rPr>
          <w:rFonts w:hint="eastAsia"/>
          <w:lang w:eastAsia="zh-CN"/>
        </w:rPr>
      </w:pPr>
      <w:r>
        <w:rPr>
          <w:rFonts w:hint="eastAsia"/>
        </w:rPr>
        <w:t>采购合同的履行、违约责任和解决争议的方法等适用</w:t>
      </w:r>
      <w:r>
        <w:rPr>
          <w:rFonts w:hint="eastAsia"/>
          <w:lang w:eastAsia="zh-CN"/>
        </w:rPr>
        <w:t>《中华人民共和国民法典》。</w:t>
      </w:r>
    </w:p>
    <w:p w14:paraId="59E38EB1">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189" w:name="_Toc308164818"/>
      <w:bookmarkStart w:id="190" w:name="_Toc16716"/>
      <w:bookmarkStart w:id="191" w:name="_Toc3266"/>
      <w:bookmarkStart w:id="192" w:name="_Toc17896"/>
      <w:bookmarkStart w:id="193" w:name="_Toc5638"/>
      <w:bookmarkStart w:id="194" w:name="_Toc5262"/>
      <w:bookmarkStart w:id="195" w:name="_Toc2566"/>
      <w:bookmarkStart w:id="196" w:name="_Toc17186"/>
      <w:bookmarkStart w:id="197" w:name="_Toc26311"/>
      <w:bookmarkStart w:id="198" w:name="_Toc19475"/>
      <w:bookmarkStart w:id="199" w:name="_Toc8615"/>
      <w:bookmarkStart w:id="200" w:name="_Toc30777"/>
      <w:bookmarkStart w:id="201" w:name="_Toc835"/>
      <w:bookmarkStart w:id="202" w:name="_Toc12960"/>
      <w:r>
        <w:rPr>
          <w:rFonts w:hint="eastAsia"/>
          <w:lang w:val="en-US" w:eastAsia="zh-CN"/>
        </w:rPr>
        <w:t>资金支付</w:t>
      </w:r>
      <w:bookmarkEnd w:id="189"/>
      <w:r>
        <w:rPr>
          <w:rFonts w:hint="eastAsia"/>
          <w:lang w:val="en-US" w:eastAsia="zh-CN"/>
        </w:rPr>
        <w:t>方式、时间、条件</w:t>
      </w:r>
      <w:bookmarkEnd w:id="190"/>
      <w:bookmarkEnd w:id="191"/>
      <w:bookmarkEnd w:id="192"/>
      <w:bookmarkEnd w:id="193"/>
      <w:bookmarkEnd w:id="194"/>
      <w:bookmarkEnd w:id="195"/>
      <w:r>
        <w:rPr>
          <w:rFonts w:hint="eastAsia"/>
          <w:lang w:val="en-US" w:eastAsia="zh-CN"/>
        </w:rPr>
        <w:t>及履约验收</w:t>
      </w:r>
      <w:bookmarkEnd w:id="196"/>
      <w:bookmarkEnd w:id="197"/>
      <w:bookmarkEnd w:id="198"/>
      <w:bookmarkEnd w:id="199"/>
      <w:bookmarkEnd w:id="200"/>
      <w:bookmarkEnd w:id="201"/>
      <w:bookmarkEnd w:id="202"/>
    </w:p>
    <w:p w14:paraId="0C9F75C8">
      <w:pPr>
        <w:pStyle w:val="69"/>
        <w:keepNext w:val="0"/>
        <w:keepLines w:val="0"/>
        <w:pageBreakBefore w:val="0"/>
        <w:widowControl w:val="0"/>
        <w:kinsoku/>
        <w:overflowPunct/>
        <w:autoSpaceDE/>
        <w:autoSpaceDN/>
        <w:bidi w:val="0"/>
        <w:spacing w:line="520" w:lineRule="exact"/>
        <w:rPr>
          <w:rFonts w:hint="eastAsia" w:ascii="宋体" w:hAnsi="宋体" w:eastAsia="宋体"/>
        </w:rPr>
      </w:pPr>
      <w:r>
        <w:rPr>
          <w:rFonts w:hint="eastAsia" w:ascii="宋体" w:hAnsi="宋体" w:eastAsia="宋体"/>
          <w:lang w:val="en-US" w:eastAsia="zh-CN"/>
        </w:rPr>
        <w:t>加快支付采购资金。</w:t>
      </w:r>
      <w:r>
        <w:rPr>
          <w:rFonts w:hint="eastAsia"/>
          <w:lang w:val="en-US" w:eastAsia="zh-CN"/>
        </w:rPr>
        <w:t>参照</w:t>
      </w:r>
      <w:r>
        <w:rPr>
          <w:rFonts w:hint="eastAsia" w:ascii="宋体" w:hAnsi="宋体" w:eastAsia="宋体"/>
          <w:lang w:val="en-US" w:eastAsia="zh-CN"/>
        </w:rPr>
        <w:t>《关于促进政府采购公平竞争优化营商环境的通知》(财库〔2019〕38号)有关要求，在采购合同中约定资金支付的方式、时间和条件，明确逾期支付资金的违约责任。</w:t>
      </w:r>
    </w:p>
    <w:p w14:paraId="27D31435">
      <w:pPr>
        <w:pStyle w:val="69"/>
        <w:keepNext w:val="0"/>
        <w:keepLines w:val="0"/>
        <w:pageBreakBefore w:val="0"/>
        <w:widowControl w:val="0"/>
        <w:kinsoku/>
        <w:overflowPunct/>
        <w:autoSpaceDE/>
        <w:autoSpaceDN/>
        <w:bidi w:val="0"/>
        <w:spacing w:line="520" w:lineRule="exact"/>
        <w:rPr>
          <w:rFonts w:hint="eastAsia" w:ascii="宋体" w:hAnsi="宋体" w:eastAsia="宋体"/>
          <w:color w:val="auto"/>
          <w:highlight w:val="none"/>
        </w:rPr>
      </w:pPr>
      <w:r>
        <w:rPr>
          <w:rFonts w:hint="eastAsia"/>
          <w:color w:val="auto"/>
          <w:highlight w:val="none"/>
          <w:lang w:val="en-US" w:eastAsia="zh-CN"/>
        </w:rPr>
        <w:t>参照</w:t>
      </w:r>
      <w:r>
        <w:rPr>
          <w:rFonts w:hint="eastAsia"/>
          <w:color w:val="auto"/>
          <w:highlight w:val="none"/>
        </w:rPr>
        <w:t>《保障中小企业款项支付条例》</w:t>
      </w:r>
      <w:r>
        <w:rPr>
          <w:rFonts w:hint="eastAsia"/>
          <w:color w:val="auto"/>
          <w:highlight w:val="none"/>
          <w:lang w:eastAsia="zh-CN"/>
        </w:rPr>
        <w:t>(</w:t>
      </w:r>
      <w:r>
        <w:rPr>
          <w:rFonts w:hint="eastAsia"/>
          <w:color w:val="auto"/>
          <w:highlight w:val="none"/>
        </w:rPr>
        <w:t>国务院令第802号</w:t>
      </w:r>
      <w:r>
        <w:rPr>
          <w:rFonts w:hint="eastAsia"/>
          <w:color w:val="auto"/>
          <w:highlight w:val="none"/>
          <w:lang w:eastAsia="zh-CN"/>
        </w:rPr>
        <w:t>)</w:t>
      </w:r>
      <w:r>
        <w:rPr>
          <w:rFonts w:hint="eastAsia"/>
          <w:color w:val="auto"/>
          <w:highlight w:val="none"/>
          <w:lang w:val="en-US" w:eastAsia="zh-CN"/>
        </w:rPr>
        <w:t>有关</w:t>
      </w:r>
      <w:r>
        <w:rPr>
          <w:rFonts w:hint="eastAsia"/>
          <w:color w:val="auto"/>
          <w:highlight w:val="none"/>
        </w:rPr>
        <w:t>规定，</w:t>
      </w:r>
      <w:r>
        <w:rPr>
          <w:rFonts w:hint="eastAsia" w:ascii="宋体" w:hAnsi="宋体" w:eastAsia="宋体" w:cs="宋体"/>
          <w:b w:val="0"/>
          <w:bCs w:val="0"/>
          <w:color w:val="auto"/>
          <w:sz w:val="24"/>
          <w:szCs w:val="24"/>
          <w:highlight w:val="none"/>
          <w:lang w:val="en-US" w:eastAsia="zh-CN"/>
        </w:rPr>
        <w:t>机关、事业单位从中小企业采购货物、工程、服务，应当自货物、工程、服务交付之日起30日内支付款项；合同另有约定的，从其约定，但付款期限最长不得超过60日。</w:t>
      </w:r>
      <w:r>
        <w:rPr>
          <w:rFonts w:hint="eastAsia"/>
          <w:color w:val="auto"/>
          <w:highlight w:val="none"/>
        </w:rPr>
        <w:t>机关、事业单位和大型企业不得以法定代表人或者主要负责人变更，履行内部付款流程，或者在合同未作约定的情况下以等待竣工验收备案、决算审计等为由，拒绝或者迟延支付中小企业款项。</w:t>
      </w:r>
    </w:p>
    <w:p w14:paraId="616FB9FB">
      <w:pPr>
        <w:pStyle w:val="69"/>
        <w:keepNext w:val="0"/>
        <w:keepLines w:val="0"/>
        <w:pageBreakBefore w:val="0"/>
        <w:widowControl w:val="0"/>
        <w:kinsoku/>
        <w:overflowPunct/>
        <w:autoSpaceDE/>
        <w:autoSpaceDN/>
        <w:bidi w:val="0"/>
        <w:spacing w:line="520" w:lineRule="exact"/>
        <w:rPr>
          <w:rFonts w:hint="eastAsia" w:ascii="宋体" w:hAnsi="宋体" w:eastAsia="宋体"/>
        </w:rPr>
      </w:pPr>
      <w:r>
        <w:rPr>
          <w:rFonts w:hint="eastAsia" w:ascii="宋体" w:hAnsi="宋体" w:eastAsia="宋体"/>
        </w:rPr>
        <w:t>采购资金的支付方式：采购人将按照采购合同规定，及时向</w:t>
      </w:r>
      <w:r>
        <w:rPr>
          <w:rFonts w:hint="eastAsia" w:ascii="宋体" w:hAnsi="宋体" w:eastAsia="宋体"/>
          <w:lang w:val="en-US" w:eastAsia="zh-CN"/>
        </w:rPr>
        <w:t>成交供应商</w:t>
      </w:r>
      <w:r>
        <w:rPr>
          <w:rFonts w:hint="eastAsia" w:ascii="宋体" w:hAnsi="宋体" w:eastAsia="宋体"/>
        </w:rPr>
        <w:t>以银行转账方式支付采购资金。</w:t>
      </w:r>
      <w:r>
        <w:rPr>
          <w:rFonts w:hint="eastAsia" w:ascii="宋体" w:hAnsi="宋体" w:eastAsia="宋体"/>
          <w:lang w:eastAsia="zh-CN"/>
        </w:rPr>
        <w:t>对于采购人违规拖欠合同款项的行为，供应商可向有关部门反映。</w:t>
      </w:r>
      <w:r>
        <w:rPr>
          <w:rFonts w:hint="eastAsia" w:ascii="宋体" w:hAnsi="宋体" w:eastAsia="宋体"/>
          <w:lang w:val="en-US" w:eastAsia="zh-CN"/>
        </w:rPr>
        <w:t>具体</w:t>
      </w:r>
      <w:r>
        <w:rPr>
          <w:rFonts w:hint="eastAsia" w:ascii="宋体" w:hAnsi="宋体" w:eastAsia="宋体"/>
        </w:rPr>
        <w:t>支付方式详见</w:t>
      </w:r>
      <w:r>
        <w:rPr>
          <w:rFonts w:hint="eastAsia" w:ascii="宋体" w:hAnsi="宋体" w:eastAsia="宋体"/>
          <w:lang w:val="en-US" w:eastAsia="zh-CN"/>
        </w:rPr>
        <w:t>磋商</w:t>
      </w:r>
      <w:r>
        <w:rPr>
          <w:rFonts w:hint="eastAsia" w:ascii="宋体" w:hAnsi="宋体" w:eastAsia="宋体"/>
        </w:rPr>
        <w:t>文件</w:t>
      </w:r>
      <w:r>
        <w:rPr>
          <w:rFonts w:hint="eastAsia" w:ascii="宋体" w:hAnsi="宋体" w:eastAsia="宋体"/>
          <w:lang w:val="en-US" w:eastAsia="zh-CN"/>
        </w:rPr>
        <w:t>第五章</w:t>
      </w:r>
      <w:r>
        <w:rPr>
          <w:rFonts w:hint="eastAsia" w:ascii="宋体" w:hAnsi="宋体" w:eastAsia="宋体"/>
          <w:lang w:eastAsia="zh-CN"/>
        </w:rPr>
        <w:t>。</w:t>
      </w:r>
    </w:p>
    <w:p w14:paraId="138BA114">
      <w:pPr>
        <w:pStyle w:val="69"/>
        <w:keepNext w:val="0"/>
        <w:keepLines w:val="0"/>
        <w:pageBreakBefore w:val="0"/>
        <w:widowControl w:val="0"/>
        <w:kinsoku/>
        <w:overflowPunct/>
        <w:autoSpaceDE/>
        <w:autoSpaceDN/>
        <w:bidi w:val="0"/>
        <w:spacing w:line="520" w:lineRule="exact"/>
        <w:rPr>
          <w:rFonts w:hint="eastAsia" w:ascii="宋体" w:hAnsi="宋体" w:eastAsia="宋体"/>
        </w:rPr>
      </w:pPr>
      <w:r>
        <w:rPr>
          <w:rFonts w:hint="eastAsia" w:ascii="宋体" w:hAnsi="宋体" w:eastAsia="宋体"/>
        </w:rPr>
        <w:t>采购资金的支付时间：</w:t>
      </w:r>
      <w:r>
        <w:rPr>
          <w:rFonts w:hint="eastAsia" w:ascii="宋体" w:hAnsi="宋体" w:eastAsia="宋体"/>
          <w:lang w:val="en-US" w:eastAsia="zh-CN"/>
        </w:rPr>
        <w:t>详见磋商</w:t>
      </w:r>
      <w:r>
        <w:rPr>
          <w:rFonts w:hint="eastAsia" w:ascii="宋体" w:hAnsi="宋体" w:eastAsia="宋体"/>
        </w:rPr>
        <w:t>文件</w:t>
      </w:r>
      <w:r>
        <w:rPr>
          <w:rFonts w:hint="eastAsia" w:ascii="宋体" w:hAnsi="宋体" w:eastAsia="宋体"/>
          <w:lang w:val="en-US" w:eastAsia="zh-CN"/>
        </w:rPr>
        <w:t>第五章</w:t>
      </w:r>
      <w:r>
        <w:rPr>
          <w:rFonts w:hint="eastAsia" w:ascii="宋体" w:hAnsi="宋体" w:eastAsia="宋体"/>
          <w:lang w:eastAsia="zh-CN"/>
        </w:rPr>
        <w:t>。</w:t>
      </w:r>
    </w:p>
    <w:p w14:paraId="37EE4912">
      <w:pPr>
        <w:pStyle w:val="69"/>
        <w:keepNext w:val="0"/>
        <w:keepLines w:val="0"/>
        <w:pageBreakBefore w:val="0"/>
        <w:widowControl w:val="0"/>
        <w:kinsoku/>
        <w:overflowPunct/>
        <w:autoSpaceDE/>
        <w:autoSpaceDN/>
        <w:bidi w:val="0"/>
        <w:spacing w:line="520" w:lineRule="exact"/>
        <w:rPr>
          <w:rFonts w:hint="eastAsia" w:ascii="宋体" w:hAnsi="宋体" w:eastAsia="宋体"/>
        </w:rPr>
      </w:pPr>
      <w:r>
        <w:rPr>
          <w:rFonts w:hint="eastAsia" w:ascii="宋体" w:hAnsi="宋体" w:eastAsia="宋体"/>
        </w:rPr>
        <w:t>采购资金的支付条件：</w:t>
      </w:r>
      <w:r>
        <w:rPr>
          <w:rFonts w:hint="eastAsia" w:ascii="宋体" w:hAnsi="宋体" w:eastAsia="宋体"/>
          <w:lang w:val="en-US" w:eastAsia="zh-CN"/>
        </w:rPr>
        <w:t>详见磋商</w:t>
      </w:r>
      <w:r>
        <w:rPr>
          <w:rFonts w:hint="eastAsia" w:ascii="宋体" w:hAnsi="宋体" w:eastAsia="宋体"/>
        </w:rPr>
        <w:t>文件</w:t>
      </w:r>
      <w:r>
        <w:rPr>
          <w:rFonts w:hint="eastAsia" w:ascii="宋体" w:hAnsi="宋体" w:eastAsia="宋体"/>
          <w:lang w:val="en-US" w:eastAsia="zh-CN"/>
        </w:rPr>
        <w:t>第五章</w:t>
      </w:r>
      <w:r>
        <w:rPr>
          <w:rFonts w:hint="eastAsia" w:ascii="宋体" w:hAnsi="宋体" w:eastAsia="宋体"/>
        </w:rPr>
        <w:t>。</w:t>
      </w:r>
    </w:p>
    <w:p w14:paraId="455AAAE5">
      <w:pPr>
        <w:pStyle w:val="69"/>
        <w:keepNext w:val="0"/>
        <w:keepLines w:val="0"/>
        <w:pageBreakBefore w:val="0"/>
        <w:widowControl w:val="0"/>
        <w:kinsoku/>
        <w:overflowPunct/>
        <w:autoSpaceDE/>
        <w:autoSpaceDN/>
        <w:bidi w:val="0"/>
        <w:snapToGrid w:val="0"/>
        <w:spacing w:line="520" w:lineRule="exact"/>
        <w:rPr>
          <w:rFonts w:cs="宋体"/>
          <w:color w:val="000000" w:themeColor="text1"/>
          <w14:textFill>
            <w14:solidFill>
              <w14:schemeClr w14:val="tx1"/>
            </w14:solidFill>
          </w14:textFill>
        </w:rPr>
      </w:pPr>
      <w:r>
        <w:rPr>
          <w:rFonts w:hint="eastAsia"/>
        </w:rPr>
        <w:t>履约验收</w:t>
      </w:r>
      <w:r>
        <w:rPr>
          <w:rFonts w:hint="eastAsia"/>
          <w:lang w:eastAsia="zh-CN"/>
        </w:rPr>
        <w:t>：</w:t>
      </w:r>
      <w:bookmarkStart w:id="203" w:name="_Toc217446071"/>
      <w:r>
        <w:rPr>
          <w:rFonts w:hint="eastAsia" w:ascii="宋体" w:hAnsi="宋体" w:eastAsia="宋体"/>
          <w:lang w:val="en-US" w:eastAsia="zh-CN"/>
        </w:rPr>
        <w:t>详见磋商</w:t>
      </w:r>
      <w:r>
        <w:rPr>
          <w:rFonts w:hint="eastAsia" w:ascii="宋体" w:hAnsi="宋体" w:eastAsia="宋体"/>
        </w:rPr>
        <w:t>文件</w:t>
      </w:r>
      <w:r>
        <w:rPr>
          <w:rFonts w:hint="eastAsia" w:ascii="宋体" w:hAnsi="宋体" w:eastAsia="宋体"/>
          <w:lang w:val="en-US" w:eastAsia="zh-CN"/>
        </w:rPr>
        <w:t>第五章</w:t>
      </w:r>
      <w:r>
        <w:rPr>
          <w:rFonts w:hint="eastAsia" w:cs="宋体"/>
          <w:color w:val="000000" w:themeColor="text1"/>
          <w14:textFill>
            <w14:solidFill>
              <w14:schemeClr w14:val="tx1"/>
            </w14:solidFill>
          </w14:textFill>
        </w:rPr>
        <w:t>。</w:t>
      </w:r>
    </w:p>
    <w:bookmarkEnd w:id="203"/>
    <w:p w14:paraId="55D60FD1">
      <w:pPr>
        <w:pStyle w:val="40"/>
        <w:keepNext w:val="0"/>
        <w:keepLines w:val="0"/>
        <w:pageBreakBefore w:val="0"/>
        <w:widowControl w:val="0"/>
        <w:kinsoku/>
        <w:wordWrap w:val="0"/>
        <w:overflowPunct/>
        <w:topLinePunct/>
        <w:autoSpaceDE/>
        <w:autoSpaceDN/>
        <w:bidi w:val="0"/>
        <w:adjustRightInd w:val="0"/>
        <w:snapToGrid w:val="0"/>
        <w:spacing w:before="157" w:beforeLines="50" w:after="157" w:afterLines="50" w:line="520" w:lineRule="exact"/>
        <w:ind w:firstLine="0" w:firstLineChars="0"/>
        <w:jc w:val="center"/>
        <w:textAlignment w:val="auto"/>
        <w:rPr>
          <w:rFonts w:hint="eastAsia" w:ascii="宋体" w:hAnsi="宋体" w:eastAsia="宋体" w:cstheme="minorBidi"/>
          <w:b/>
          <w:kern w:val="2"/>
          <w:sz w:val="36"/>
          <w:szCs w:val="36"/>
          <w:lang w:val="en-US" w:eastAsia="zh-CN" w:bidi="ar-SA"/>
        </w:rPr>
      </w:pPr>
      <w:bookmarkStart w:id="204" w:name="_Toc13265"/>
      <w:bookmarkStart w:id="205" w:name="_Toc23470"/>
      <w:bookmarkStart w:id="206" w:name="_Toc16351"/>
      <w:bookmarkStart w:id="207" w:name="_Toc17233"/>
      <w:r>
        <w:rPr>
          <w:rFonts w:hint="eastAsia" w:ascii="宋体" w:hAnsi="宋体" w:eastAsia="宋体" w:cstheme="minorBidi"/>
          <w:b/>
          <w:kern w:val="2"/>
          <w:sz w:val="36"/>
          <w:szCs w:val="36"/>
          <w:lang w:val="en-US" w:eastAsia="zh-CN" w:bidi="ar-SA"/>
        </w:rPr>
        <w:t>磋商纪律要求</w:t>
      </w:r>
      <w:bookmarkEnd w:id="204"/>
      <w:bookmarkEnd w:id="205"/>
      <w:bookmarkEnd w:id="206"/>
      <w:bookmarkEnd w:id="207"/>
    </w:p>
    <w:p w14:paraId="58095173">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208" w:name="_Toc25072"/>
      <w:bookmarkStart w:id="209" w:name="_Toc1613"/>
      <w:bookmarkStart w:id="210" w:name="_Toc27543"/>
      <w:bookmarkStart w:id="211" w:name="_Toc16082"/>
      <w:r>
        <w:rPr>
          <w:rFonts w:hint="eastAsia"/>
          <w:lang w:val="en-US" w:eastAsia="zh-CN"/>
        </w:rPr>
        <w:t>供应商参加本项目采购活动不得具有的情形</w:t>
      </w:r>
      <w:bookmarkEnd w:id="172"/>
      <w:bookmarkEnd w:id="208"/>
      <w:bookmarkEnd w:id="209"/>
      <w:bookmarkEnd w:id="210"/>
      <w:bookmarkEnd w:id="211"/>
    </w:p>
    <w:p w14:paraId="7AF9C455">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lang w:val="en-US" w:eastAsia="zh-CN"/>
        </w:rPr>
      </w:pPr>
      <w:bookmarkStart w:id="212" w:name="_Toc18558"/>
      <w:bookmarkStart w:id="213" w:name="_Toc29926"/>
      <w:bookmarkStart w:id="214" w:name="_Toc12708"/>
      <w:bookmarkStart w:id="215" w:name="_Toc28656"/>
      <w:bookmarkStart w:id="216" w:name="_Toc31594"/>
      <w:bookmarkStart w:id="217" w:name="_Toc29848"/>
      <w:bookmarkStart w:id="218" w:name="_Toc11007"/>
      <w:bookmarkStart w:id="219" w:name="_Toc19578"/>
      <w:bookmarkStart w:id="220" w:name="_Toc1683"/>
      <w:bookmarkStart w:id="221" w:name="_Toc17041"/>
      <w:r>
        <w:rPr>
          <w:rFonts w:hint="eastAsia"/>
          <w:lang w:val="en-US" w:eastAsia="zh-CN"/>
        </w:rPr>
        <w:t>1.有下列情形之一的，视为供应商串通响应：</w:t>
      </w:r>
    </w:p>
    <w:p w14:paraId="2F8D2B4A">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lang w:val="en-US" w:eastAsia="zh-CN"/>
        </w:rPr>
      </w:pPr>
      <w:r>
        <w:rPr>
          <w:rFonts w:hint="eastAsia"/>
          <w:lang w:val="en-US" w:eastAsia="zh-CN"/>
        </w:rPr>
        <w:t>(1)不同供应商的响应文件由同一单位或者个人编制；</w:t>
      </w:r>
    </w:p>
    <w:p w14:paraId="08D322BB">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lang w:val="en-US" w:eastAsia="zh-CN"/>
        </w:rPr>
      </w:pPr>
      <w:r>
        <w:rPr>
          <w:rFonts w:hint="eastAsia"/>
          <w:lang w:val="en-US" w:eastAsia="zh-CN"/>
        </w:rPr>
        <w:t>(2)不同供应商委托同一单位或者个人办理投标事宜；</w:t>
      </w:r>
    </w:p>
    <w:p w14:paraId="4A929A55">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lang w:val="en-US" w:eastAsia="zh-CN"/>
        </w:rPr>
      </w:pPr>
      <w:r>
        <w:rPr>
          <w:rFonts w:hint="eastAsia"/>
          <w:lang w:val="en-US" w:eastAsia="zh-CN"/>
        </w:rPr>
        <w:t>(3)不同供应商的响应文件载明的项目管理成员或者联系人员为同一人；</w:t>
      </w:r>
    </w:p>
    <w:p w14:paraId="2EECF052">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lang w:val="en-US" w:eastAsia="zh-CN"/>
        </w:rPr>
      </w:pPr>
      <w:r>
        <w:rPr>
          <w:rFonts w:hint="eastAsia"/>
          <w:lang w:val="en-US" w:eastAsia="zh-CN"/>
        </w:rPr>
        <w:t>(4)不同供应商的响应文件异常一致或者响应报价呈规律性差异；</w:t>
      </w:r>
    </w:p>
    <w:p w14:paraId="4117067A">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lang w:val="en-US" w:eastAsia="zh-CN"/>
        </w:rPr>
      </w:pPr>
      <w:r>
        <w:rPr>
          <w:rFonts w:hint="eastAsia"/>
          <w:lang w:val="en-US" w:eastAsia="zh-CN"/>
        </w:rPr>
        <w:t>(5)不同供应商的响应文件相互混装。</w:t>
      </w:r>
    </w:p>
    <w:bookmarkEnd w:id="212"/>
    <w:bookmarkEnd w:id="213"/>
    <w:p w14:paraId="5B9798CA">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2.有下列情形之一的，属于恶意串通，对供应商参照《中华人民共和国政府采购法》第七十七条第一款的规定追究法律责任，对采购人、代理机构及其工作人员参照《中华人民共和国政府采购法》第七十二条的规定追究法律责任：</w:t>
      </w:r>
    </w:p>
    <w:p w14:paraId="5E8BD2FE">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(1)供应商直接或者间接从采购人或者代理机构处获得其他供应商的相关情况并修改其响应文件；</w:t>
      </w:r>
    </w:p>
    <w:p w14:paraId="64172EAF">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(2)供应商按照采购人或者代理机构的授意撤换、修改响应文件；</w:t>
      </w:r>
    </w:p>
    <w:p w14:paraId="1EE8F67D">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(3)供应商之间协商报价、技术方案等响应文件的实质性内容；</w:t>
      </w:r>
    </w:p>
    <w:p w14:paraId="3FE99586">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(4)属于同一集团、协会、商会等组织成员的供应商按照该组织要求协同参加采购活动；</w:t>
      </w:r>
    </w:p>
    <w:p w14:paraId="4FC1CE49">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(5)供应商之间事先约定由某一特定供应商成交；</w:t>
      </w:r>
    </w:p>
    <w:p w14:paraId="731994AF">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(6)供应商之间商定部分供应商放弃参加采购活动或者放弃成交；</w:t>
      </w:r>
    </w:p>
    <w:p w14:paraId="6A1FE4C6">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(7)供应商与采购人或者代理机构之间、供应商相互之间，为谋求特定供应商成交或者排斥其他供应商的其他串通行为。</w:t>
      </w:r>
    </w:p>
    <w:p w14:paraId="212413BB">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3.提供虚假材料谋取成交；</w:t>
      </w:r>
    </w:p>
    <w:p w14:paraId="3711F621">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4.采取不正当手段诋毁、排挤其他供应商；</w:t>
      </w:r>
    </w:p>
    <w:p w14:paraId="0607AC7F">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5.与采购人或者代理机构、其他供应商恶意串通；</w:t>
      </w:r>
    </w:p>
    <w:p w14:paraId="62245C67">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6.向采购人或者代理机构、磋商小组成员行贿或者提供其他不正当利益；</w:t>
      </w:r>
    </w:p>
    <w:p w14:paraId="68081445">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7.成交后无正当理由拒不与采购人签订采购合同；</w:t>
      </w:r>
    </w:p>
    <w:p w14:paraId="0E8CB6C2">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8.未按照采购文件确定的事项签订采购合同；</w:t>
      </w:r>
    </w:p>
    <w:p w14:paraId="2E20EA9D">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9.将采购合同转包或者违规分包；</w:t>
      </w:r>
    </w:p>
    <w:p w14:paraId="76E25D42">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10.提供假冒伪劣产品；</w:t>
      </w:r>
    </w:p>
    <w:p w14:paraId="111A75A2">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11.擅自变更、中止或者终止采购合同；</w:t>
      </w:r>
    </w:p>
    <w:p w14:paraId="1C79C3B1">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12.拒绝有关部门的监督检查或者向监督检查部门提供虚假情况；</w:t>
      </w:r>
    </w:p>
    <w:p w14:paraId="6F4D8A25">
      <w:pPr>
        <w:pStyle w:val="69"/>
        <w:keepNext w:val="0"/>
        <w:keepLines w:val="0"/>
        <w:pageBreakBefore w:val="0"/>
        <w:widowControl w:val="0"/>
        <w:numPr>
          <w:ilvl w:val="-1"/>
          <w:numId w:val="0"/>
        </w:numPr>
        <w:kinsoku/>
        <w:overflowPunct/>
        <w:autoSpaceDE/>
        <w:autoSpaceDN/>
        <w:bidi w:val="0"/>
        <w:adjustRightInd w:val="0"/>
        <w:snapToGrid w:val="0"/>
        <w:spacing w:line="520" w:lineRule="exact"/>
        <w:ind w:leftChars="0" w:firstLine="480" w:firstLineChars="200"/>
        <w:rPr>
          <w:rFonts w:hint="eastAsia"/>
          <w:color w:val="auto"/>
          <w:highlight w:val="none"/>
          <w:lang w:val="en-US" w:eastAsia="zh-CN"/>
        </w:rPr>
      </w:pPr>
      <w:r>
        <w:rPr>
          <w:rFonts w:hint="eastAsia"/>
          <w:color w:val="auto"/>
          <w:highlight w:val="none"/>
          <w:lang w:val="en-US" w:eastAsia="zh-CN"/>
        </w:rPr>
        <w:t>13.法律法规规定的其他禁止情形。</w:t>
      </w:r>
    </w:p>
    <w:p w14:paraId="71CF6B5C">
      <w:pPr>
        <w:pStyle w:val="69"/>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color w:val="auto"/>
          <w:highlight w:val="none"/>
          <w:lang w:val="en-US" w:eastAsia="zh-CN"/>
        </w:rPr>
      </w:pPr>
      <w:r>
        <w:rPr>
          <w:rFonts w:hint="eastAsia"/>
          <w:color w:val="auto"/>
          <w:highlight w:val="none"/>
          <w:lang w:val="en-US" w:eastAsia="zh-CN"/>
        </w:rPr>
        <w:t>供应商有前述一至六条情形之一的，作无效响应处理。成交供应商有前述一至六条情形之一的，认定成交无效。此外，将按照规定追究供应商法律责任。属于恶意串通的，将参照《中华人民共和国政府采购法》第七十七条第一款，对供应商处以采购金额千分之五以上千分之十以下的罚款，列入不良行为记录名单，在一至三年内禁止参加采购活动，有违法所得的，并处没收违法所得，情节严重的，由市场监督管理部门吊销营业执照；构成犯罪的，依法追究刑事责任。</w:t>
      </w:r>
    </w:p>
    <w:p w14:paraId="1108859D">
      <w:pPr>
        <w:pStyle w:val="55"/>
        <w:keepNext w:val="0"/>
        <w:keepLines w:val="0"/>
        <w:pageBreakBefore w:val="0"/>
        <w:widowControl w:val="0"/>
        <w:kinsoku/>
        <w:overflowPunct/>
        <w:autoSpaceDE/>
        <w:autoSpaceDN/>
        <w:bidi w:val="0"/>
        <w:snapToGrid w:val="0"/>
        <w:spacing w:line="520" w:lineRule="exact"/>
        <w:rPr>
          <w:rFonts w:hint="default"/>
          <w:color w:val="auto"/>
          <w:highlight w:val="none"/>
          <w:lang w:val="en-US" w:eastAsia="zh-CN"/>
        </w:rPr>
      </w:pPr>
      <w:bookmarkStart w:id="222" w:name="_Toc7253"/>
      <w:bookmarkStart w:id="223" w:name="_Toc4149"/>
      <w:r>
        <w:rPr>
          <w:rFonts w:hint="eastAsia"/>
          <w:color w:val="auto"/>
          <w:highlight w:val="none"/>
          <w:lang w:val="en-US" w:eastAsia="zh-CN"/>
        </w:rPr>
        <w:t>磋商现场纪律要求</w:t>
      </w:r>
      <w:bookmarkEnd w:id="222"/>
      <w:bookmarkEnd w:id="223"/>
    </w:p>
    <w:p w14:paraId="23308AA2">
      <w:pPr>
        <w:pStyle w:val="51"/>
        <w:keepNext w:val="0"/>
        <w:keepLines w:val="0"/>
        <w:pageBreakBefore w:val="0"/>
        <w:widowControl w:val="0"/>
        <w:kinsoku/>
        <w:overflowPunct/>
        <w:autoSpaceDE/>
        <w:autoSpaceDN/>
        <w:bidi w:val="0"/>
        <w:snapToGrid w:val="0"/>
        <w:spacing w:line="520" w:lineRule="exact"/>
        <w:rPr>
          <w:rFonts w:hint="eastAsia"/>
          <w:lang w:val="en-US" w:eastAsia="zh-CN"/>
        </w:rPr>
      </w:pPr>
      <w:r>
        <w:rPr>
          <w:rFonts w:hint="eastAsia"/>
          <w:color w:val="auto"/>
          <w:highlight w:val="none"/>
          <w:lang w:val="en-US" w:eastAsia="zh-CN"/>
        </w:rPr>
        <w:t>供应商在磋商现场须听从采购代理机构的安排，自觉遵守秩序，不得起哄，大声喧哗；不得现场与其他供应商协商报价；不得干预磋商评审，否则由此造成的一切不利后果由供应商自行独立承担</w:t>
      </w:r>
      <w:r>
        <w:rPr>
          <w:rFonts w:hint="eastAsia"/>
          <w:highlight w:val="none"/>
          <w:lang w:val="en-US" w:eastAsia="zh-CN"/>
        </w:rPr>
        <w:t>。</w:t>
      </w:r>
    </w:p>
    <w:bookmarkEnd w:id="214"/>
    <w:bookmarkEnd w:id="215"/>
    <w:bookmarkEnd w:id="216"/>
    <w:bookmarkEnd w:id="217"/>
    <w:bookmarkEnd w:id="218"/>
    <w:bookmarkEnd w:id="219"/>
    <w:bookmarkEnd w:id="220"/>
    <w:p w14:paraId="66135810">
      <w:pPr>
        <w:pStyle w:val="40"/>
        <w:keepNext w:val="0"/>
        <w:keepLines w:val="0"/>
        <w:pageBreakBefore w:val="0"/>
        <w:widowControl w:val="0"/>
        <w:kinsoku/>
        <w:wordWrap w:val="0"/>
        <w:overflowPunct/>
        <w:topLinePunct/>
        <w:autoSpaceDE/>
        <w:autoSpaceDN/>
        <w:bidi w:val="0"/>
        <w:adjustRightInd w:val="0"/>
        <w:snapToGrid w:val="0"/>
        <w:spacing w:before="157" w:beforeLines="50" w:after="157" w:afterLines="50" w:line="520" w:lineRule="exact"/>
        <w:ind w:firstLine="0" w:firstLineChars="0"/>
        <w:jc w:val="center"/>
        <w:textAlignment w:val="auto"/>
        <w:rPr>
          <w:rFonts w:hint="eastAsia" w:ascii="宋体" w:hAnsi="宋体" w:eastAsia="宋体" w:cstheme="minorBidi"/>
          <w:b/>
          <w:kern w:val="2"/>
          <w:sz w:val="36"/>
          <w:szCs w:val="36"/>
          <w:lang w:val="en-US" w:eastAsia="zh-CN" w:bidi="ar-SA"/>
        </w:rPr>
      </w:pPr>
      <w:bookmarkStart w:id="224" w:name="_Toc14507"/>
      <w:bookmarkStart w:id="225" w:name="_Toc19072"/>
      <w:bookmarkStart w:id="226" w:name="_Toc19109"/>
      <w:bookmarkStart w:id="227" w:name="_Toc6403"/>
      <w:r>
        <w:rPr>
          <w:rFonts w:hint="eastAsia" w:ascii="宋体" w:hAnsi="宋体" w:eastAsia="宋体" w:cstheme="minorBidi"/>
          <w:b/>
          <w:kern w:val="2"/>
          <w:sz w:val="36"/>
          <w:szCs w:val="36"/>
          <w:lang w:val="en-US" w:eastAsia="zh-CN" w:bidi="ar-SA"/>
        </w:rPr>
        <w:t>其他</w:t>
      </w:r>
      <w:bookmarkEnd w:id="224"/>
      <w:bookmarkEnd w:id="225"/>
      <w:bookmarkEnd w:id="226"/>
      <w:bookmarkEnd w:id="227"/>
    </w:p>
    <w:bookmarkEnd w:id="221"/>
    <w:p w14:paraId="03D8C9AA">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228" w:name="_Toc31084"/>
      <w:bookmarkStart w:id="229" w:name="_Toc23492"/>
      <w:bookmarkStart w:id="230" w:name="_Toc18625"/>
      <w:bookmarkStart w:id="231" w:name="_Toc16406"/>
      <w:bookmarkStart w:id="232" w:name="_Toc24020"/>
      <w:bookmarkStart w:id="233" w:name="_Toc26947"/>
      <w:bookmarkStart w:id="234" w:name="_Toc2794"/>
      <w:bookmarkStart w:id="235" w:name="_Toc10108"/>
      <w:bookmarkStart w:id="236" w:name="_Toc1748"/>
      <w:bookmarkStart w:id="237" w:name="_Toc10585"/>
      <w:r>
        <w:rPr>
          <w:rFonts w:hint="eastAsia"/>
          <w:lang w:val="en-US" w:eastAsia="zh-CN"/>
        </w:rPr>
        <w:t>关于行贿犯罪档案查询工作的规定</w:t>
      </w:r>
      <w:bookmarkEnd w:id="228"/>
      <w:bookmarkEnd w:id="229"/>
      <w:bookmarkEnd w:id="230"/>
      <w:bookmarkEnd w:id="231"/>
      <w:bookmarkEnd w:id="232"/>
      <w:bookmarkEnd w:id="233"/>
      <w:bookmarkEnd w:id="234"/>
      <w:bookmarkEnd w:id="235"/>
      <w:bookmarkEnd w:id="236"/>
      <w:bookmarkEnd w:id="237"/>
    </w:p>
    <w:p w14:paraId="61FF7046">
      <w:pPr>
        <w:pStyle w:val="51"/>
        <w:keepNext w:val="0"/>
        <w:keepLines w:val="0"/>
        <w:pageBreakBefore w:val="0"/>
        <w:widowControl w:val="0"/>
        <w:kinsoku/>
        <w:overflowPunct/>
        <w:autoSpaceDE/>
        <w:autoSpaceDN/>
        <w:bidi w:val="0"/>
        <w:snapToGrid w:val="0"/>
        <w:spacing w:line="520" w:lineRule="exact"/>
        <w:rPr>
          <w:rFonts w:hint="eastAsia"/>
          <w:lang w:val="en-US" w:eastAsia="zh-CN"/>
        </w:rPr>
      </w:pPr>
      <w:bookmarkStart w:id="238" w:name="_Toc14412"/>
      <w:bookmarkStart w:id="239" w:name="_Toc29751"/>
      <w:bookmarkStart w:id="240" w:name="_Toc4110"/>
      <w:r>
        <w:rPr>
          <w:rFonts w:hint="eastAsia"/>
          <w:lang w:val="en-US" w:eastAsia="zh-CN"/>
        </w:rPr>
        <w:t>因国家检察机关职务犯罪侦查部门转隶工作已经完成，供应商参与采购活动时须按照磋商文件要求提供承诺函或由</w:t>
      </w:r>
      <w:r>
        <w:rPr>
          <w:rFonts w:hint="eastAsia"/>
        </w:rPr>
        <w:t>采购代理机构通过</w:t>
      </w:r>
      <w:r>
        <w:rPr>
          <w:rFonts w:hint="eastAsia"/>
          <w:lang w:val="en-US" w:eastAsia="zh-CN"/>
        </w:rPr>
        <w:t>“中国裁判文书网”查询</w:t>
      </w:r>
      <w:r>
        <w:rPr>
          <w:rFonts w:hint="eastAsia"/>
        </w:rPr>
        <w:t>，并将查询记录存档</w:t>
      </w:r>
      <w:r>
        <w:rPr>
          <w:rFonts w:hint="eastAsia"/>
          <w:lang w:val="en-US" w:eastAsia="zh-CN"/>
        </w:rPr>
        <w:t>。</w:t>
      </w:r>
      <w:bookmarkEnd w:id="238"/>
      <w:bookmarkEnd w:id="239"/>
    </w:p>
    <w:p w14:paraId="0EF8B74E">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241" w:name="_Toc21956"/>
      <w:bookmarkStart w:id="242" w:name="_Toc27271"/>
      <w:bookmarkStart w:id="243" w:name="_Toc30884"/>
      <w:bookmarkStart w:id="244" w:name="_Toc24800"/>
      <w:r>
        <w:rPr>
          <w:rFonts w:hint="eastAsia"/>
          <w:lang w:val="en-US" w:eastAsia="zh-CN"/>
        </w:rPr>
        <w:t>供应商信用信息查询</w:t>
      </w:r>
      <w:bookmarkEnd w:id="240"/>
      <w:bookmarkEnd w:id="241"/>
      <w:bookmarkEnd w:id="242"/>
      <w:bookmarkEnd w:id="243"/>
      <w:bookmarkEnd w:id="244"/>
    </w:p>
    <w:p w14:paraId="348A7A0E">
      <w:pPr>
        <w:pStyle w:val="38"/>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lang w:val="en-US" w:eastAsia="zh-CN"/>
        </w:rPr>
        <w:t>1.供应商信用信息查询渠道</w:t>
      </w:r>
    </w:p>
    <w:p w14:paraId="7C15F573">
      <w:pPr>
        <w:pStyle w:val="51"/>
        <w:keepNext w:val="0"/>
        <w:keepLines w:val="0"/>
        <w:pageBreakBefore w:val="0"/>
        <w:widowControl w:val="0"/>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lang w:val="en-US" w:eastAsia="zh-CN"/>
        </w:rPr>
        <w:t>“信用中国”网站(www.creditchina.gov.cn)、“中国政府采购网”(www.ccgp.gov.cn)</w:t>
      </w:r>
      <w:r>
        <w:rPr>
          <w:rFonts w:hint="eastAsia"/>
        </w:rPr>
        <w:t>等</w:t>
      </w:r>
      <w:r>
        <w:rPr>
          <w:rFonts w:hint="eastAsia"/>
          <w:lang w:val="en-US" w:eastAsia="zh-CN"/>
        </w:rPr>
        <w:t>。</w:t>
      </w:r>
    </w:p>
    <w:p w14:paraId="6B570E97">
      <w:pPr>
        <w:pStyle w:val="38"/>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lang w:val="en-US" w:eastAsia="zh-CN"/>
        </w:rPr>
        <w:t>2.供应商信用信息查询截止时点</w:t>
      </w:r>
    </w:p>
    <w:p w14:paraId="72B8B2ED">
      <w:pPr>
        <w:pStyle w:val="51"/>
        <w:keepNext w:val="0"/>
        <w:keepLines w:val="0"/>
        <w:pageBreakBefore w:val="0"/>
        <w:widowControl w:val="0"/>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lang w:val="en-US" w:eastAsia="zh-CN"/>
        </w:rPr>
        <w:t>信用信息查询在资格审查阶段进行。</w:t>
      </w:r>
    </w:p>
    <w:p w14:paraId="19416948">
      <w:pPr>
        <w:pStyle w:val="38"/>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lang w:val="en-US" w:eastAsia="zh-CN"/>
        </w:rPr>
        <w:t>3.供应商信用信息查询记录和证据留存的具体方式</w:t>
      </w:r>
    </w:p>
    <w:p w14:paraId="7C1318FA">
      <w:pPr>
        <w:pStyle w:val="51"/>
        <w:keepNext w:val="0"/>
        <w:keepLines w:val="0"/>
        <w:pageBreakBefore w:val="0"/>
        <w:widowControl w:val="0"/>
        <w:kinsoku/>
        <w:wordWrap w:val="0"/>
        <w:overflowPunct/>
        <w:topLinePunct/>
        <w:autoSpaceDE/>
        <w:autoSpaceDN/>
        <w:bidi w:val="0"/>
        <w:adjustRightInd w:val="0"/>
        <w:snapToGrid w:val="0"/>
        <w:spacing w:line="520" w:lineRule="exact"/>
        <w:ind w:leftChars="0" w:firstLine="480" w:firstLineChars="200"/>
        <w:textAlignment w:val="auto"/>
        <w:rPr>
          <w:rFonts w:hint="eastAsia"/>
          <w:lang w:val="en-US" w:eastAsia="zh-CN"/>
        </w:rPr>
      </w:pPr>
      <w:r>
        <w:rPr>
          <w:rFonts w:hint="eastAsia"/>
        </w:rPr>
        <w:t>采购代理机构通过</w:t>
      </w:r>
      <w:r>
        <w:rPr>
          <w:rFonts w:hint="eastAsia"/>
          <w:lang w:eastAsia="zh-CN"/>
        </w:rPr>
        <w:t>“</w:t>
      </w:r>
      <w:r>
        <w:rPr>
          <w:rFonts w:hint="eastAsia"/>
        </w:rPr>
        <w:t>信用中国</w:t>
      </w:r>
      <w:r>
        <w:rPr>
          <w:rFonts w:hint="eastAsia"/>
          <w:lang w:eastAsia="zh-CN"/>
        </w:rPr>
        <w:t>”</w:t>
      </w:r>
      <w:r>
        <w:rPr>
          <w:rFonts w:hint="eastAsia"/>
        </w:rPr>
        <w:t>网站</w:t>
      </w:r>
      <w:r>
        <w:rPr>
          <w:rFonts w:hint="eastAsia"/>
          <w:lang w:eastAsia="zh-CN"/>
        </w:rPr>
        <w:t>、“</w:t>
      </w:r>
      <w:r>
        <w:rPr>
          <w:rFonts w:hint="eastAsia"/>
        </w:rPr>
        <w:t>中国政府采购网</w:t>
      </w:r>
      <w:r>
        <w:rPr>
          <w:rFonts w:hint="eastAsia"/>
          <w:lang w:eastAsia="zh-CN"/>
        </w:rPr>
        <w:t>”</w:t>
      </w:r>
      <w:r>
        <w:rPr>
          <w:rFonts w:hint="eastAsia"/>
        </w:rPr>
        <w:t>等渠道对供应商进行信用记录查询，并将查询记录存档</w:t>
      </w:r>
      <w:r>
        <w:rPr>
          <w:rFonts w:hint="eastAsia"/>
          <w:lang w:val="en-US" w:eastAsia="zh-CN"/>
        </w:rPr>
        <w:t>。</w:t>
      </w:r>
    </w:p>
    <w:p w14:paraId="4DB9ADD4">
      <w:pPr>
        <w:pStyle w:val="38"/>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left="0" w:leftChars="0" w:firstLine="480" w:firstLineChars="200"/>
        <w:textAlignment w:val="auto"/>
        <w:rPr>
          <w:rFonts w:hint="eastAsia"/>
          <w:color w:val="auto"/>
          <w:highlight w:val="none"/>
          <w:lang w:val="en-US" w:eastAsia="zh-CN"/>
        </w:rPr>
      </w:pPr>
      <w:r>
        <w:rPr>
          <w:rFonts w:hint="eastAsia"/>
          <w:color w:val="auto"/>
          <w:lang w:val="en-US" w:eastAsia="zh-CN"/>
        </w:rPr>
        <w:t>4.供应商信用信息的使用：</w:t>
      </w:r>
      <w:r>
        <w:rPr>
          <w:rFonts w:hint="eastAsia"/>
          <w:color w:val="auto"/>
        </w:rPr>
        <w:t>凡被列入失信被执行人、重大税收违法案件当事人名单</w:t>
      </w:r>
      <w:r>
        <w:rPr>
          <w:rFonts w:hint="eastAsia"/>
          <w:color w:val="auto"/>
          <w:lang w:val="en-US" w:eastAsia="zh-CN"/>
        </w:rPr>
        <w:t>(重大税收违法失信主体)</w:t>
      </w:r>
      <w:r>
        <w:rPr>
          <w:rFonts w:hint="eastAsia"/>
          <w:color w:val="auto"/>
        </w:rPr>
        <w:t>、政府采购严重违法失信行为记录名单的，</w:t>
      </w:r>
      <w:r>
        <w:rPr>
          <w:rFonts w:hint="eastAsia"/>
          <w:color w:val="auto"/>
          <w:highlight w:val="none"/>
        </w:rPr>
        <w:t>视为存在不良信用记录，参与本项目的将被拒绝</w:t>
      </w:r>
      <w:r>
        <w:rPr>
          <w:rFonts w:hint="eastAsia"/>
          <w:color w:val="auto"/>
          <w:highlight w:val="none"/>
          <w:lang w:val="en-US" w:eastAsia="zh-CN"/>
        </w:rPr>
        <w:t>。</w:t>
      </w:r>
    </w:p>
    <w:p w14:paraId="7CFAC374">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245" w:name="_Toc9882"/>
      <w:bookmarkStart w:id="246" w:name="_Toc5438"/>
      <w:bookmarkStart w:id="247" w:name="_Toc7951"/>
      <w:bookmarkStart w:id="248" w:name="_Toc6024"/>
      <w:r>
        <w:rPr>
          <w:rFonts w:hint="eastAsia"/>
          <w:lang w:val="en-US" w:eastAsia="zh-CN"/>
        </w:rPr>
        <w:t>保密</w:t>
      </w:r>
      <w:bookmarkEnd w:id="245"/>
      <w:bookmarkEnd w:id="246"/>
      <w:bookmarkEnd w:id="247"/>
      <w:bookmarkEnd w:id="248"/>
    </w:p>
    <w:p w14:paraId="2334E741">
      <w:pPr>
        <w:pStyle w:val="9"/>
        <w:keepNext w:val="0"/>
        <w:keepLines w:val="0"/>
        <w:pageBreakBefore w:val="0"/>
        <w:widowControl w:val="0"/>
        <w:numPr>
          <w:ilvl w:val="0"/>
          <w:numId w:val="0"/>
        </w:numPr>
        <w:tabs>
          <w:tab w:val="left" w:pos="1134"/>
          <w:tab w:val="clear" w:pos="0"/>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1.</w:t>
      </w:r>
      <w:r>
        <w:rPr>
          <w:rFonts w:hint="eastAsia" w:cstheme="minorBidi"/>
          <w:kern w:val="2"/>
          <w:sz w:val="24"/>
          <w:szCs w:val="24"/>
          <w:lang w:val="en-US" w:eastAsia="zh-CN" w:bidi="ar-SA"/>
        </w:rPr>
        <w:t>各采购当事人</w:t>
      </w:r>
      <w:r>
        <w:rPr>
          <w:rFonts w:hint="eastAsia" w:ascii="宋体" w:hAnsi="宋体" w:eastAsia="宋体" w:cstheme="minorBidi"/>
          <w:kern w:val="2"/>
          <w:sz w:val="24"/>
          <w:szCs w:val="24"/>
          <w:lang w:val="en-US" w:eastAsia="zh-CN" w:bidi="ar-SA"/>
        </w:rPr>
        <w:t>不得透露有关成功</w:t>
      </w:r>
      <w:r>
        <w:rPr>
          <w:rFonts w:hint="eastAsia" w:cstheme="minorBidi"/>
          <w:kern w:val="2"/>
          <w:sz w:val="24"/>
          <w:szCs w:val="24"/>
          <w:lang w:val="en-US" w:eastAsia="zh-CN" w:bidi="ar-SA"/>
        </w:rPr>
        <w:t>获取采购文件</w:t>
      </w:r>
      <w:r>
        <w:rPr>
          <w:rFonts w:hint="eastAsia" w:ascii="宋体" w:hAnsi="宋体" w:eastAsia="宋体" w:cstheme="minorBidi"/>
          <w:kern w:val="2"/>
          <w:sz w:val="24"/>
          <w:szCs w:val="24"/>
          <w:lang w:val="en-US" w:eastAsia="zh-CN" w:bidi="ar-SA"/>
        </w:rPr>
        <w:t>的潜在</w:t>
      </w:r>
      <w:r>
        <w:rPr>
          <w:rFonts w:hint="eastAsia" w:cstheme="minorBidi"/>
          <w:kern w:val="2"/>
          <w:sz w:val="24"/>
          <w:szCs w:val="24"/>
          <w:lang w:val="en-US" w:eastAsia="zh-CN" w:bidi="ar-SA"/>
        </w:rPr>
        <w:t>供应商</w:t>
      </w:r>
      <w:r>
        <w:rPr>
          <w:rFonts w:hint="eastAsia" w:ascii="宋体" w:hAnsi="宋体" w:eastAsia="宋体" w:cstheme="minorBidi"/>
          <w:kern w:val="2"/>
          <w:sz w:val="24"/>
          <w:szCs w:val="24"/>
          <w:lang w:val="en-US" w:eastAsia="zh-CN" w:bidi="ar-SA"/>
        </w:rPr>
        <w:t>的任何情况。</w:t>
      </w:r>
    </w:p>
    <w:p w14:paraId="6327CA96">
      <w:pPr>
        <w:pStyle w:val="9"/>
        <w:keepNext w:val="0"/>
        <w:keepLines w:val="0"/>
        <w:pageBreakBefore w:val="0"/>
        <w:widowControl w:val="0"/>
        <w:numPr>
          <w:ilvl w:val="0"/>
          <w:numId w:val="0"/>
        </w:numPr>
        <w:tabs>
          <w:tab w:val="left" w:pos="1134"/>
          <w:tab w:val="clear" w:pos="0"/>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2.</w:t>
      </w:r>
      <w:r>
        <w:rPr>
          <w:rFonts w:hint="eastAsia" w:cstheme="minorBidi"/>
          <w:kern w:val="2"/>
          <w:sz w:val="24"/>
          <w:szCs w:val="24"/>
          <w:lang w:val="en-US" w:eastAsia="zh-CN" w:bidi="ar-SA"/>
        </w:rPr>
        <w:t>供应商</w:t>
      </w:r>
      <w:r>
        <w:rPr>
          <w:rFonts w:hint="eastAsia" w:ascii="宋体" w:hAnsi="宋体" w:eastAsia="宋体" w:cstheme="minorBidi"/>
          <w:kern w:val="2"/>
          <w:sz w:val="24"/>
          <w:szCs w:val="24"/>
          <w:lang w:val="en-US" w:eastAsia="zh-CN" w:bidi="ar-SA"/>
        </w:rPr>
        <w:t>有关</w:t>
      </w:r>
      <w:r>
        <w:rPr>
          <w:rFonts w:hint="eastAsia" w:cstheme="minorBidi"/>
          <w:kern w:val="2"/>
          <w:sz w:val="24"/>
          <w:szCs w:val="24"/>
          <w:lang w:val="en-US" w:eastAsia="zh-CN" w:bidi="ar-SA"/>
        </w:rPr>
        <w:t>响应</w:t>
      </w:r>
      <w:r>
        <w:rPr>
          <w:rFonts w:hint="eastAsia" w:ascii="宋体" w:hAnsi="宋体" w:eastAsia="宋体" w:cstheme="minorBidi"/>
          <w:kern w:val="2"/>
          <w:sz w:val="24"/>
          <w:szCs w:val="24"/>
          <w:lang w:val="en-US" w:eastAsia="zh-CN" w:bidi="ar-SA"/>
        </w:rPr>
        <w:t>文件的审查、澄清、评估和比较以及合同授予意向等情况</w:t>
      </w:r>
      <w:r>
        <w:rPr>
          <w:rFonts w:hint="eastAsia" w:cstheme="minorBidi"/>
          <w:kern w:val="2"/>
          <w:sz w:val="24"/>
          <w:szCs w:val="24"/>
          <w:lang w:val="en-US" w:eastAsia="zh-CN" w:bidi="ar-SA"/>
        </w:rPr>
        <w:t>均</w:t>
      </w:r>
      <w:r>
        <w:rPr>
          <w:rFonts w:hint="eastAsia" w:ascii="宋体" w:hAnsi="宋体" w:eastAsia="宋体" w:cstheme="minorBidi"/>
          <w:kern w:val="2"/>
          <w:sz w:val="24"/>
          <w:szCs w:val="24"/>
          <w:lang w:val="en-US" w:eastAsia="zh-CN" w:bidi="ar-SA"/>
        </w:rPr>
        <w:t>不得对外透露。</w:t>
      </w:r>
    </w:p>
    <w:p w14:paraId="57F60C38">
      <w:pPr>
        <w:pStyle w:val="55"/>
        <w:keepNext w:val="0"/>
        <w:keepLines w:val="0"/>
        <w:pageBreakBefore w:val="0"/>
        <w:widowControl w:val="0"/>
        <w:kinsoku/>
        <w:overflowPunct/>
        <w:autoSpaceDE/>
        <w:autoSpaceDN/>
        <w:bidi w:val="0"/>
        <w:snapToGrid w:val="0"/>
        <w:spacing w:line="520" w:lineRule="exact"/>
        <w:rPr>
          <w:rFonts w:hint="eastAsia"/>
          <w:lang w:val="en-US" w:eastAsia="zh-CN"/>
        </w:rPr>
      </w:pPr>
      <w:bookmarkStart w:id="249" w:name="_Toc11140"/>
      <w:bookmarkStart w:id="250" w:name="_Toc9400"/>
      <w:bookmarkStart w:id="251" w:name="_Toc25283"/>
      <w:bookmarkStart w:id="252" w:name="_Toc10353"/>
      <w:r>
        <w:rPr>
          <w:rFonts w:hint="eastAsia"/>
          <w:lang w:val="en-US" w:eastAsia="zh-CN"/>
        </w:rPr>
        <w:t>回避</w:t>
      </w:r>
      <w:bookmarkEnd w:id="249"/>
      <w:bookmarkEnd w:id="250"/>
      <w:bookmarkEnd w:id="251"/>
      <w:bookmarkEnd w:id="252"/>
    </w:p>
    <w:p w14:paraId="273E8D80">
      <w:pPr>
        <w:pStyle w:val="23"/>
        <w:keepNext w:val="0"/>
        <w:keepLines w:val="0"/>
        <w:pageBreakBefore w:val="0"/>
        <w:widowControl w:val="0"/>
        <w:shd w:val="clear" w:color="auto" w:fill="FFFFFF"/>
        <w:kinsoku/>
        <w:overflowPunct/>
        <w:autoSpaceDE/>
        <w:autoSpaceDN/>
        <w:bidi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在采购活动中，采购人员及相关人员与供应商有下列利害关系之一的，应当回避：</w:t>
      </w:r>
    </w:p>
    <w:p w14:paraId="15129AF8">
      <w:pPr>
        <w:pStyle w:val="23"/>
        <w:keepNext w:val="0"/>
        <w:keepLines w:val="0"/>
        <w:pageBreakBefore w:val="0"/>
        <w:widowControl w:val="0"/>
        <w:shd w:val="clear" w:color="auto" w:fill="FFFFFF"/>
        <w:kinsoku/>
        <w:overflowPunct/>
        <w:autoSpaceDE/>
        <w:autoSpaceDN/>
        <w:bidi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1.参加采购活动前3年内与供应商存在劳动关系；</w:t>
      </w:r>
    </w:p>
    <w:p w14:paraId="609B795B">
      <w:pPr>
        <w:pStyle w:val="23"/>
        <w:keepNext w:val="0"/>
        <w:keepLines w:val="0"/>
        <w:pageBreakBefore w:val="0"/>
        <w:widowControl w:val="0"/>
        <w:shd w:val="clear" w:color="auto" w:fill="FFFFFF"/>
        <w:kinsoku/>
        <w:overflowPunct/>
        <w:autoSpaceDE/>
        <w:autoSpaceDN/>
        <w:bidi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2.参加采购活动前3年内担任供应商的董事、监事；</w:t>
      </w:r>
    </w:p>
    <w:p w14:paraId="4F5599C4">
      <w:pPr>
        <w:pStyle w:val="23"/>
        <w:keepNext w:val="0"/>
        <w:keepLines w:val="0"/>
        <w:pageBreakBefore w:val="0"/>
        <w:widowControl w:val="0"/>
        <w:shd w:val="clear" w:color="auto" w:fill="FFFFFF"/>
        <w:kinsoku/>
        <w:overflowPunct/>
        <w:autoSpaceDE/>
        <w:autoSpaceDN/>
        <w:bidi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3.参加采购活动前3年内是供应商的控股股东或者实际控制人；</w:t>
      </w:r>
    </w:p>
    <w:p w14:paraId="69E56F3F">
      <w:pPr>
        <w:pStyle w:val="23"/>
        <w:keepNext w:val="0"/>
        <w:keepLines w:val="0"/>
        <w:pageBreakBefore w:val="0"/>
        <w:widowControl w:val="0"/>
        <w:shd w:val="clear" w:color="auto" w:fill="FFFFFF"/>
        <w:kinsoku/>
        <w:overflowPunct/>
        <w:autoSpaceDE/>
        <w:autoSpaceDN/>
        <w:bidi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4.与供应商的法定代表人或者负责人有夫妻、直系血亲、三代以内旁系血亲或者近姻亲关系；</w:t>
      </w:r>
    </w:p>
    <w:p w14:paraId="25AB812B">
      <w:pPr>
        <w:pStyle w:val="23"/>
        <w:keepNext w:val="0"/>
        <w:keepLines w:val="0"/>
        <w:pageBreakBefore w:val="0"/>
        <w:widowControl w:val="0"/>
        <w:shd w:val="clear" w:color="auto" w:fill="FFFFFF"/>
        <w:kinsoku/>
        <w:overflowPunct/>
        <w:autoSpaceDE/>
        <w:autoSpaceDN/>
        <w:bidi w:val="0"/>
        <w:snapToGrid w:val="0"/>
        <w:spacing w:before="0" w:beforeAutospacing="0" w:after="0" w:afterAutospacing="0" w:line="520" w:lineRule="exact"/>
        <w:ind w:firstLine="480" w:firstLineChars="200"/>
        <w:jc w:val="both"/>
        <w:textAlignment w:val="center"/>
        <w:rPr>
          <w:rFonts w:hint="eastAsia" w:ascii="宋体" w:hAnsi="宋体" w:eastAsia="宋体" w:cstheme="minorBidi"/>
          <w:kern w:val="2"/>
          <w:sz w:val="24"/>
          <w:szCs w:val="24"/>
          <w:lang w:val="en-US" w:eastAsia="zh-CN" w:bidi="ar-SA"/>
        </w:rPr>
      </w:pPr>
      <w:r>
        <w:rPr>
          <w:rFonts w:hint="eastAsia" w:ascii="宋体" w:hAnsi="宋体" w:eastAsia="宋体" w:cstheme="minorBidi"/>
          <w:kern w:val="2"/>
          <w:sz w:val="24"/>
          <w:szCs w:val="24"/>
          <w:lang w:val="en-US" w:eastAsia="zh-CN" w:bidi="ar-SA"/>
        </w:rPr>
        <w:t>5.与供应商有其他可能影响采购活动公平、公正进行的关系。</w:t>
      </w:r>
    </w:p>
    <w:p w14:paraId="7D3F79B3">
      <w:pPr>
        <w:pStyle w:val="9"/>
        <w:keepNext w:val="0"/>
        <w:keepLines w:val="0"/>
        <w:pageBreakBefore w:val="0"/>
        <w:widowControl w:val="0"/>
        <w:numPr>
          <w:ilvl w:val="0"/>
          <w:numId w:val="0"/>
        </w:numPr>
        <w:tabs>
          <w:tab w:val="left" w:pos="1134"/>
          <w:tab w:val="clear" w:pos="0"/>
        </w:tabs>
        <w:kinsoku/>
        <w:wordWrap/>
        <w:overflowPunct/>
        <w:topLinePunct w:val="0"/>
        <w:autoSpaceDE/>
        <w:autoSpaceDN/>
        <w:bidi w:val="0"/>
        <w:adjustRightInd w:val="0"/>
        <w:snapToGrid w:val="0"/>
        <w:spacing w:after="0" w:line="520" w:lineRule="exact"/>
        <w:ind w:leftChars="0" w:firstLine="480" w:firstLineChars="200"/>
        <w:textAlignment w:val="auto"/>
        <w:rPr>
          <w:rFonts w:hint="eastAsia"/>
          <w:highlight w:val="none"/>
          <w:lang w:val="en-US" w:eastAsia="zh-CN"/>
        </w:rPr>
      </w:pPr>
      <w:r>
        <w:rPr>
          <w:rFonts w:hint="eastAsia" w:ascii="宋体" w:hAnsi="宋体" w:eastAsia="宋体" w:cstheme="minorBidi"/>
          <w:kern w:val="2"/>
          <w:sz w:val="24"/>
          <w:szCs w:val="24"/>
          <w:lang w:val="en-US" w:eastAsia="zh-CN" w:bidi="ar-SA"/>
        </w:rPr>
        <w:t>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3AD0266C">
      <w:pPr>
        <w:pStyle w:val="55"/>
        <w:keepNext w:val="0"/>
        <w:keepLines w:val="0"/>
        <w:pageBreakBefore w:val="0"/>
        <w:widowControl w:val="0"/>
        <w:kinsoku/>
        <w:overflowPunct/>
        <w:autoSpaceDE/>
        <w:autoSpaceDN/>
        <w:bidi w:val="0"/>
        <w:snapToGrid w:val="0"/>
        <w:spacing w:line="520" w:lineRule="exact"/>
        <w:rPr>
          <w:rFonts w:hint="default"/>
          <w:lang w:val="en-US" w:eastAsia="zh-CN"/>
        </w:rPr>
      </w:pPr>
      <w:bookmarkStart w:id="253" w:name="_Toc20348"/>
      <w:bookmarkStart w:id="254" w:name="_Toc27142"/>
      <w:bookmarkStart w:id="255" w:name="_Toc30603"/>
      <w:r>
        <w:rPr>
          <w:rFonts w:hint="eastAsia"/>
          <w:lang w:val="en-US" w:eastAsia="zh-CN"/>
        </w:rPr>
        <w:t>解释说明</w:t>
      </w:r>
      <w:bookmarkEnd w:id="253"/>
      <w:bookmarkEnd w:id="254"/>
      <w:bookmarkEnd w:id="255"/>
    </w:p>
    <w:p w14:paraId="02D0826D">
      <w:pPr>
        <w:pStyle w:val="38"/>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firstLine="480" w:firstLineChars="200"/>
        <w:textAlignment w:val="auto"/>
        <w:rPr>
          <w:rFonts w:hint="eastAsia"/>
        </w:rPr>
      </w:pPr>
      <w:r>
        <w:rPr>
          <w:rFonts w:hint="eastAsia"/>
          <w:lang w:val="en-US" w:eastAsia="zh-CN"/>
        </w:rPr>
        <w:t>1.</w:t>
      </w:r>
      <w:r>
        <w:rPr>
          <w:rFonts w:hint="eastAsia"/>
        </w:rPr>
        <w:t>本</w:t>
      </w:r>
      <w:r>
        <w:rPr>
          <w:rFonts w:hint="eastAsia"/>
          <w:lang w:val="en-US" w:eastAsia="zh-CN"/>
        </w:rPr>
        <w:t>磋商文件</w:t>
      </w:r>
      <w:r>
        <w:rPr>
          <w:rFonts w:hint="eastAsia"/>
        </w:rPr>
        <w:t>中作为实质性要求的内容，除明确要求</w:t>
      </w:r>
      <w:r>
        <w:rPr>
          <w:rFonts w:hint="eastAsia"/>
          <w:lang w:val="en-US" w:eastAsia="zh-CN"/>
        </w:rPr>
        <w:t>需在响应文件中</w:t>
      </w:r>
      <w:r>
        <w:rPr>
          <w:rFonts w:hint="eastAsia"/>
        </w:rPr>
        <w:t>提供承诺函等证明材料的外，评</w:t>
      </w:r>
      <w:r>
        <w:rPr>
          <w:rFonts w:hint="eastAsia"/>
          <w:lang w:val="en-US" w:eastAsia="zh-CN"/>
        </w:rPr>
        <w:t>审</w:t>
      </w:r>
      <w:r>
        <w:rPr>
          <w:rFonts w:hint="eastAsia"/>
        </w:rPr>
        <w:t>委员会在评审时，仅对</w:t>
      </w:r>
      <w:r>
        <w:rPr>
          <w:rFonts w:hint="eastAsia"/>
          <w:lang w:val="en-US" w:eastAsia="zh-CN"/>
        </w:rPr>
        <w:t>响应</w:t>
      </w:r>
      <w:r>
        <w:rPr>
          <w:rFonts w:hint="eastAsia"/>
        </w:rPr>
        <w:t>文件是否违背实质性要求进行审查。</w:t>
      </w:r>
    </w:p>
    <w:p w14:paraId="7336964E">
      <w:pPr>
        <w:pStyle w:val="38"/>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firstLine="480" w:firstLineChars="200"/>
        <w:textAlignment w:val="auto"/>
        <w:rPr>
          <w:rFonts w:hint="eastAsia"/>
        </w:rPr>
      </w:pPr>
      <w:r>
        <w:rPr>
          <w:rFonts w:hint="eastAsia"/>
          <w:lang w:val="en-US" w:eastAsia="zh-CN"/>
        </w:rPr>
        <w:t>2.</w:t>
      </w:r>
      <w:r>
        <w:rPr>
          <w:rFonts w:hint="eastAsia"/>
        </w:rPr>
        <w:t>本</w:t>
      </w:r>
      <w:r>
        <w:rPr>
          <w:rFonts w:hint="eastAsia"/>
          <w:lang w:val="en-US" w:eastAsia="zh-CN"/>
        </w:rPr>
        <w:t>磋商</w:t>
      </w:r>
      <w:r>
        <w:rPr>
          <w:rFonts w:hint="eastAsia"/>
        </w:rPr>
        <w:t>文件中所引</w:t>
      </w:r>
      <w:r>
        <w:rPr>
          <w:rFonts w:hint="eastAsia"/>
          <w:lang w:val="en-US" w:eastAsia="zh-CN"/>
        </w:rPr>
        <w:t>用的</w:t>
      </w:r>
      <w:r>
        <w:rPr>
          <w:rFonts w:hint="eastAsia"/>
        </w:rPr>
        <w:t>相关法律</w:t>
      </w:r>
      <w:r>
        <w:rPr>
          <w:rFonts w:hint="eastAsia"/>
          <w:lang w:val="en-US" w:eastAsia="zh-CN"/>
        </w:rPr>
        <w:t>法规</w:t>
      </w:r>
      <w:r>
        <w:rPr>
          <w:rFonts w:hint="eastAsia"/>
        </w:rPr>
        <w:t>规定，在采购中有</w:t>
      </w:r>
      <w:r>
        <w:rPr>
          <w:rFonts w:hint="eastAsia"/>
          <w:lang w:val="en-US" w:eastAsia="zh-CN"/>
        </w:rPr>
        <w:t>调整</w:t>
      </w:r>
      <w:r>
        <w:rPr>
          <w:rFonts w:hint="eastAsia"/>
        </w:rPr>
        <w:t>的，按照</w:t>
      </w:r>
      <w:r>
        <w:rPr>
          <w:rFonts w:hint="eastAsia"/>
          <w:lang w:val="en-US" w:eastAsia="zh-CN"/>
        </w:rPr>
        <w:t>调整</w:t>
      </w:r>
      <w:r>
        <w:rPr>
          <w:rFonts w:hint="eastAsia"/>
        </w:rPr>
        <w:t>后的相关法律</w:t>
      </w:r>
      <w:r>
        <w:rPr>
          <w:rFonts w:hint="eastAsia"/>
          <w:lang w:val="en-US" w:eastAsia="zh-CN"/>
        </w:rPr>
        <w:t>法规</w:t>
      </w:r>
      <w:r>
        <w:rPr>
          <w:rFonts w:hint="eastAsia"/>
        </w:rPr>
        <w:t>规定执行。在本项目</w:t>
      </w:r>
      <w:r>
        <w:rPr>
          <w:rFonts w:hint="eastAsia"/>
          <w:lang w:eastAsia="zh-CN"/>
        </w:rPr>
        <w:t>响应文件递交截止时间</w:t>
      </w:r>
      <w:r>
        <w:rPr>
          <w:rFonts w:hint="eastAsia"/>
        </w:rPr>
        <w:t>届满后，因相关法律</w:t>
      </w:r>
      <w:r>
        <w:rPr>
          <w:rFonts w:hint="eastAsia"/>
          <w:lang w:val="en-US" w:eastAsia="zh-CN"/>
        </w:rPr>
        <w:t>法规</w:t>
      </w:r>
      <w:r>
        <w:rPr>
          <w:rFonts w:hint="eastAsia"/>
        </w:rPr>
        <w:t>规定的</w:t>
      </w:r>
      <w:r>
        <w:rPr>
          <w:rFonts w:hint="eastAsia"/>
          <w:lang w:val="en-US" w:eastAsia="zh-CN"/>
        </w:rPr>
        <w:t>调整</w:t>
      </w:r>
      <w:r>
        <w:rPr>
          <w:rFonts w:hint="eastAsia"/>
        </w:rPr>
        <w:t>导致不符合相关法律</w:t>
      </w:r>
      <w:r>
        <w:rPr>
          <w:rFonts w:hint="eastAsia"/>
          <w:lang w:val="en-US" w:eastAsia="zh-CN"/>
        </w:rPr>
        <w:t>法规</w:t>
      </w:r>
      <w:r>
        <w:rPr>
          <w:rFonts w:hint="eastAsia"/>
        </w:rPr>
        <w:t>规定的，按照</w:t>
      </w:r>
      <w:r>
        <w:rPr>
          <w:rFonts w:hint="eastAsia"/>
          <w:lang w:val="en-US" w:eastAsia="zh-CN"/>
        </w:rPr>
        <w:t>调整</w:t>
      </w:r>
      <w:r>
        <w:rPr>
          <w:rFonts w:hint="eastAsia"/>
        </w:rPr>
        <w:t>后的相关法律</w:t>
      </w:r>
      <w:r>
        <w:rPr>
          <w:rFonts w:hint="eastAsia"/>
          <w:lang w:val="en-US" w:eastAsia="zh-CN"/>
        </w:rPr>
        <w:t>法规</w:t>
      </w:r>
      <w:r>
        <w:rPr>
          <w:rFonts w:hint="eastAsia"/>
        </w:rPr>
        <w:t>规定执行，本</w:t>
      </w:r>
      <w:r>
        <w:rPr>
          <w:rFonts w:hint="eastAsia"/>
          <w:lang w:val="en-US" w:eastAsia="zh-CN"/>
        </w:rPr>
        <w:t>磋商</w:t>
      </w:r>
      <w:r>
        <w:rPr>
          <w:rFonts w:hint="eastAsia"/>
        </w:rPr>
        <w:t>文件不再做调整。</w:t>
      </w:r>
    </w:p>
    <w:p w14:paraId="58D88B43">
      <w:pPr>
        <w:pStyle w:val="38"/>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firstLine="480" w:firstLineChars="200"/>
        <w:textAlignment w:val="auto"/>
        <w:rPr>
          <w:rFonts w:hint="eastAsia"/>
        </w:rPr>
      </w:pPr>
      <w:r>
        <w:rPr>
          <w:rFonts w:hint="eastAsia"/>
          <w:lang w:val="en-US" w:eastAsia="zh-CN"/>
        </w:rPr>
        <w:t>3.</w:t>
      </w:r>
      <w:r>
        <w:rPr>
          <w:rFonts w:hint="eastAsia"/>
        </w:rPr>
        <w:t>国家或行业主管部门对供应商和采购产品的技术标准、质量标准和资格资质条件等有强制性规定的，必须符合其要求</w:t>
      </w:r>
      <w:r>
        <w:rPr>
          <w:rFonts w:hint="eastAsia"/>
          <w:b/>
          <w:bCs/>
          <w:lang w:eastAsia="zh-CN"/>
        </w:rPr>
        <w:t>(</w:t>
      </w:r>
      <w:r>
        <w:rPr>
          <w:rFonts w:hint="eastAsia"/>
          <w:b/>
          <w:bCs/>
        </w:rPr>
        <w:t>实质性要求</w:t>
      </w:r>
      <w:r>
        <w:rPr>
          <w:rFonts w:hint="eastAsia"/>
          <w:b/>
          <w:bCs/>
          <w:lang w:eastAsia="zh-CN"/>
        </w:rPr>
        <w:t>)</w:t>
      </w:r>
      <w:r>
        <w:rPr>
          <w:rFonts w:hint="eastAsia"/>
        </w:rPr>
        <w:t>。</w:t>
      </w:r>
    </w:p>
    <w:p w14:paraId="4CBC44F5">
      <w:pPr>
        <w:pStyle w:val="38"/>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firstLine="480" w:firstLineChars="200"/>
        <w:textAlignment w:val="auto"/>
        <w:rPr>
          <w:rFonts w:hint="eastAsia"/>
        </w:rPr>
      </w:pPr>
      <w:r>
        <w:rPr>
          <w:rFonts w:hint="eastAsia" w:eastAsia="宋体"/>
          <w:lang w:val="en-US" w:eastAsia="zh-CN"/>
        </w:rPr>
        <w:t>4.</w:t>
      </w:r>
      <w:r>
        <w:rPr>
          <w:rFonts w:hint="eastAsia" w:ascii="宋体" w:hAnsi="宋体" w:eastAsia="宋体" w:cs="宋体"/>
          <w:sz w:val="24"/>
          <w:szCs w:val="24"/>
          <w:lang w:val="en-US" w:eastAsia="zh-CN"/>
        </w:rPr>
        <w:t>本项目涉及国家强制标准、企业资质、产品认证、人员执业资格等描述与国家最新要求不一致时以最新要求为准。</w:t>
      </w:r>
    </w:p>
    <w:p w14:paraId="04DE5628">
      <w:pPr>
        <w:pStyle w:val="48"/>
        <w:bidi w:val="0"/>
        <w:rPr>
          <w:rFonts w:hint="eastAsia"/>
        </w:rPr>
      </w:pPr>
    </w:p>
    <w:p w14:paraId="3C2B2720">
      <w:pPr>
        <w:pStyle w:val="48"/>
        <w:bidi w:val="0"/>
        <w:rPr>
          <w:rFonts w:hint="eastAsia"/>
        </w:rPr>
      </w:pPr>
    </w:p>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p w14:paraId="0CC12FA4">
      <w:pPr>
        <w:pStyle w:val="54"/>
        <w:bidi w:val="0"/>
        <w:rPr>
          <w:rFonts w:hint="eastAsia"/>
        </w:rPr>
      </w:pPr>
      <w:bookmarkStart w:id="256" w:name="_Toc5589"/>
      <w:r>
        <w:rPr>
          <w:rFonts w:hint="eastAsia"/>
        </w:rPr>
        <w:br w:type="page"/>
      </w:r>
      <w:bookmarkEnd w:id="256"/>
      <w:bookmarkStart w:id="257" w:name="_Toc4206"/>
      <w:bookmarkStart w:id="258" w:name="_Toc25961"/>
      <w:bookmarkStart w:id="259" w:name="_Toc24102"/>
      <w:bookmarkStart w:id="260" w:name="_Toc6605"/>
      <w:bookmarkStart w:id="261" w:name="_Toc26601"/>
      <w:bookmarkStart w:id="262" w:name="_Toc31402"/>
      <w:bookmarkStart w:id="263" w:name="_Toc29575"/>
      <w:r>
        <w:rPr>
          <w:rFonts w:hint="eastAsia"/>
          <w:lang w:val="en-US" w:eastAsia="zh-CN"/>
        </w:rPr>
        <w:t>响应</w:t>
      </w:r>
      <w:r>
        <w:rPr>
          <w:rFonts w:hint="eastAsia"/>
        </w:rPr>
        <w:t>文件格式</w:t>
      </w:r>
      <w:bookmarkEnd w:id="257"/>
      <w:bookmarkEnd w:id="258"/>
      <w:bookmarkEnd w:id="259"/>
      <w:bookmarkEnd w:id="260"/>
      <w:bookmarkEnd w:id="261"/>
      <w:bookmarkEnd w:id="262"/>
      <w:bookmarkEnd w:id="263"/>
    </w:p>
    <w:p w14:paraId="345F712C">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bookmarkStart w:id="264" w:name="_Toc294701519"/>
      <w:bookmarkStart w:id="265" w:name="_Toc295978802"/>
      <w:bookmarkStart w:id="266" w:name="_Toc439161746"/>
      <w:bookmarkStart w:id="267" w:name="_Toc211218954"/>
      <w:bookmarkStart w:id="268" w:name="_Toc294688711"/>
      <w:bookmarkStart w:id="269" w:name="_Toc182629023"/>
      <w:bookmarkStart w:id="270" w:name="_Toc182759327"/>
      <w:bookmarkStart w:id="271" w:name="_Toc16460"/>
      <w:bookmarkStart w:id="272" w:name="_Toc287367101"/>
      <w:bookmarkStart w:id="273" w:name="_Toc316462354"/>
      <w:r>
        <w:rPr>
          <w:rFonts w:hint="eastAsia"/>
        </w:rPr>
        <w:t>一、本章所制</w:t>
      </w:r>
      <w:r>
        <w:rPr>
          <w:rFonts w:hint="eastAsia"/>
          <w:lang w:val="en-US" w:eastAsia="zh-CN"/>
        </w:rPr>
        <w:t>响应</w:t>
      </w:r>
      <w:r>
        <w:rPr>
          <w:rFonts w:hint="eastAsia"/>
        </w:rPr>
        <w:t>文件格式，除格式中明确将该格式作为实质性要求的，一律不具有强制性</w:t>
      </w:r>
      <w:r>
        <w:rPr>
          <w:rFonts w:hint="eastAsia"/>
          <w:lang w:eastAsia="zh-CN"/>
        </w:rPr>
        <w:t>，</w:t>
      </w:r>
      <w:r>
        <w:rPr>
          <w:rFonts w:hint="eastAsia"/>
          <w:lang w:val="en-US" w:eastAsia="zh-CN"/>
        </w:rPr>
        <w:t>供应商不涉及的格式可以不提供</w:t>
      </w:r>
      <w:r>
        <w:rPr>
          <w:rFonts w:hint="eastAsia"/>
        </w:rPr>
        <w:t>。</w:t>
      </w:r>
    </w:p>
    <w:p w14:paraId="239D491C">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二、本章所制</w:t>
      </w:r>
      <w:r>
        <w:rPr>
          <w:rFonts w:hint="eastAsia"/>
          <w:lang w:val="en-US" w:eastAsia="zh-CN"/>
        </w:rPr>
        <w:t>响应</w:t>
      </w:r>
      <w:r>
        <w:rPr>
          <w:rFonts w:hint="eastAsia"/>
        </w:rPr>
        <w:t>文件格式有关表格中的备注栏，由</w:t>
      </w:r>
      <w:r>
        <w:rPr>
          <w:rFonts w:hint="eastAsia"/>
          <w:lang w:val="en-US" w:eastAsia="zh-CN"/>
        </w:rPr>
        <w:t>供应商</w:t>
      </w:r>
      <w:r>
        <w:rPr>
          <w:rFonts w:hint="eastAsia"/>
        </w:rPr>
        <w:t>根据自身</w:t>
      </w:r>
      <w:r>
        <w:rPr>
          <w:rFonts w:hint="eastAsia"/>
          <w:lang w:val="en-US" w:eastAsia="zh-CN"/>
        </w:rPr>
        <w:t>响应</w:t>
      </w:r>
      <w:r>
        <w:rPr>
          <w:rFonts w:hint="eastAsia"/>
        </w:rPr>
        <w:t>情况作解释性说明，不作为必填项。</w:t>
      </w:r>
    </w:p>
    <w:p w14:paraId="2D5007DF">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三、本章</w:t>
      </w:r>
      <w:r>
        <w:rPr>
          <w:rFonts w:hint="eastAsia"/>
        </w:rPr>
        <w:t>格式中“注”的内容，</w:t>
      </w:r>
      <w:r>
        <w:rPr>
          <w:rFonts w:hint="eastAsia"/>
          <w:lang w:val="en-US" w:eastAsia="zh-CN"/>
        </w:rPr>
        <w:t>供应商</w:t>
      </w:r>
      <w:r>
        <w:rPr>
          <w:rFonts w:hint="eastAsia"/>
        </w:rPr>
        <w:t>可自行决定是否保留在</w:t>
      </w:r>
      <w:r>
        <w:rPr>
          <w:rFonts w:hint="eastAsia"/>
          <w:lang w:val="en-US" w:eastAsia="zh-CN"/>
        </w:rPr>
        <w:t>响应</w:t>
      </w:r>
      <w:r>
        <w:rPr>
          <w:rFonts w:hint="eastAsia"/>
        </w:rPr>
        <w:t>文件中，未保留的视为</w:t>
      </w:r>
      <w:r>
        <w:rPr>
          <w:rFonts w:hint="eastAsia"/>
          <w:lang w:val="en-US" w:eastAsia="zh-CN"/>
        </w:rPr>
        <w:t>供应商</w:t>
      </w:r>
      <w:r>
        <w:rPr>
          <w:rFonts w:hint="eastAsia"/>
        </w:rPr>
        <w:t>默认接受“注”的内容</w:t>
      </w:r>
      <w:r>
        <w:rPr>
          <w:rFonts w:hint="eastAsia"/>
          <w:lang w:eastAsia="zh-CN"/>
        </w:rPr>
        <w:t>。</w:t>
      </w:r>
    </w:p>
    <w:p w14:paraId="4F09D998">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四</w:t>
      </w:r>
      <w:r>
        <w:rPr>
          <w:rFonts w:hint="eastAsia"/>
        </w:rPr>
        <w:t>、本章所制</w:t>
      </w:r>
      <w:r>
        <w:rPr>
          <w:rFonts w:hint="eastAsia"/>
          <w:lang w:val="en-US" w:eastAsia="zh-CN"/>
        </w:rPr>
        <w:t>响应</w:t>
      </w:r>
      <w:r>
        <w:rPr>
          <w:rFonts w:hint="eastAsia"/>
        </w:rPr>
        <w:t>文件格式中需要填写的相关内容事项，可能会与本采购项目无关，在不改变</w:t>
      </w:r>
      <w:r>
        <w:rPr>
          <w:rFonts w:hint="eastAsia"/>
          <w:lang w:val="en-US" w:eastAsia="zh-CN"/>
        </w:rPr>
        <w:t>响应文件</w:t>
      </w:r>
      <w:r>
        <w:rPr>
          <w:rFonts w:hint="eastAsia"/>
        </w:rPr>
        <w:t>原义、不影响本项目采购需求的情况下，</w:t>
      </w:r>
      <w:r>
        <w:rPr>
          <w:rFonts w:hint="eastAsia"/>
          <w:lang w:val="en-US" w:eastAsia="zh-CN"/>
        </w:rPr>
        <w:t>供应商</w:t>
      </w:r>
      <w:r>
        <w:rPr>
          <w:rFonts w:hint="eastAsia"/>
        </w:rPr>
        <w:t>可以不予填写，但应当注明。</w:t>
      </w:r>
    </w:p>
    <w:p w14:paraId="2A86E13A">
      <w:pPr>
        <w:pStyle w:val="48"/>
        <w:bidi w:val="0"/>
        <w:rPr>
          <w:rFonts w:hint="eastAsia"/>
        </w:rPr>
      </w:pPr>
      <w:r>
        <w:rPr>
          <w:rFonts w:hint="eastAsia"/>
        </w:rPr>
        <w:br w:type="page"/>
      </w:r>
    </w:p>
    <w:p w14:paraId="4FFD70BD">
      <w:pPr>
        <w:pStyle w:val="39"/>
        <w:bidi w:val="0"/>
        <w:rPr>
          <w:rFonts w:hint="eastAsia"/>
        </w:rPr>
      </w:pPr>
      <w:r>
        <w:rPr>
          <w:rFonts w:hint="eastAsia"/>
        </w:rPr>
        <w:t>附件：密封袋的格式</w:t>
      </w:r>
    </w:p>
    <w:p w14:paraId="021BD1CF">
      <w:pPr>
        <w:pStyle w:val="39"/>
        <w:bidi w:val="0"/>
        <w:rPr>
          <w:rFonts w:hint="eastAsia"/>
        </w:rPr>
      </w:pPr>
    </w:p>
    <w:p w14:paraId="58C0986A">
      <w:pPr>
        <w:pStyle w:val="39"/>
        <w:bidi w:val="0"/>
        <w:rPr>
          <w:rFonts w:hint="eastAsia"/>
        </w:rPr>
      </w:pPr>
    </w:p>
    <w:p w14:paraId="29B16C81">
      <w:pPr>
        <w:pStyle w:val="39"/>
        <w:bidi w:val="0"/>
        <w:rPr>
          <w:rFonts w:hint="eastAsia"/>
        </w:rPr>
      </w:pPr>
    </w:p>
    <w:tbl>
      <w:tblPr>
        <w:tblStyle w:val="25"/>
        <w:tblW w:w="9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720"/>
      </w:tblGrid>
      <w:tr w14:paraId="79EAC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90" w:hRule="atLeast"/>
          <w:jc w:val="center"/>
        </w:trPr>
        <w:tc>
          <w:tcPr>
            <w:tcW w:w="9720" w:type="dxa"/>
            <w:tcBorders>
              <w:top w:val="single" w:color="000000" w:sz="4" w:space="0"/>
              <w:left w:val="single" w:color="000000" w:sz="4" w:space="0"/>
              <w:bottom w:val="single" w:color="000000" w:sz="4" w:space="0"/>
              <w:right w:val="single" w:color="000000" w:sz="4" w:space="0"/>
            </w:tcBorders>
            <w:vAlign w:val="top"/>
          </w:tcPr>
          <w:p w14:paraId="5576F92C">
            <w:pPr>
              <w:pStyle w:val="39"/>
              <w:bidi w:val="0"/>
              <w:rPr>
                <w:rFonts w:hint="eastAsia"/>
              </w:rPr>
            </w:pPr>
          </w:p>
          <w:p w14:paraId="3A0F45E6">
            <w:pPr>
              <w:tabs>
                <w:tab w:val="left" w:pos="7665"/>
                <w:tab w:val="clear" w:pos="0"/>
              </w:tabs>
              <w:spacing w:line="400" w:lineRule="exact"/>
              <w:ind w:firstLine="2280" w:firstLineChars="950"/>
              <w:rPr>
                <w:rFonts w:hint="eastAsia" w:asciiTheme="minorEastAsia" w:hAnsiTheme="minorEastAsia" w:eastAsiaTheme="minorEastAsia" w:cstheme="minorEastAsia"/>
                <w:color w:val="000000"/>
                <w:sz w:val="24"/>
                <w:u w:val="single"/>
              </w:rPr>
            </w:pPr>
            <w:r>
              <w:rPr>
                <w:rFonts w:hint="eastAsia" w:asciiTheme="minorEastAsia" w:hAnsiTheme="minorEastAsia" w:eastAsiaTheme="minorEastAsia" w:cstheme="minorEastAsia"/>
                <w:color w:val="000000"/>
                <w:sz w:val="24"/>
                <w:u w:val="none"/>
              </w:rPr>
              <w:t>项目编号：</w:t>
            </w:r>
            <w:r>
              <w:rPr>
                <w:rFonts w:hint="eastAsia" w:asciiTheme="minorEastAsia" w:hAnsiTheme="minorEastAsia" w:eastAsiaTheme="minorEastAsia" w:cstheme="minorEastAsia"/>
                <w:color w:val="000000"/>
                <w:sz w:val="24"/>
                <w:u w:val="single"/>
              </w:rPr>
              <w:t xml:space="preserve">                   </w:t>
            </w:r>
          </w:p>
          <w:p w14:paraId="4B172A57">
            <w:pPr>
              <w:tabs>
                <w:tab w:val="left" w:pos="7665"/>
                <w:tab w:val="clear" w:pos="0"/>
              </w:tabs>
              <w:spacing w:line="400" w:lineRule="exact"/>
              <w:ind w:firstLine="2280" w:firstLineChars="950"/>
              <w:rPr>
                <w:rFonts w:hint="eastAsia" w:asciiTheme="minorEastAsia" w:hAnsiTheme="minorEastAsia" w:eastAsiaTheme="minorEastAsia" w:cstheme="minorEastAsia"/>
                <w:color w:val="000000"/>
                <w:sz w:val="24"/>
                <w:u w:val="single"/>
              </w:rPr>
            </w:pPr>
            <w:r>
              <w:rPr>
                <w:rFonts w:hint="eastAsia" w:asciiTheme="minorEastAsia" w:hAnsiTheme="minorEastAsia" w:eastAsiaTheme="minorEastAsia" w:cstheme="minorEastAsia"/>
                <w:color w:val="000000"/>
                <w:sz w:val="24"/>
                <w:u w:val="none"/>
              </w:rPr>
              <w:t>项目名称</w:t>
            </w:r>
            <w:r>
              <w:rPr>
                <w:rFonts w:hint="eastAsia" w:asciiTheme="minorEastAsia" w:hAnsiTheme="minorEastAsia" w:eastAsiaTheme="minorEastAsia" w:cstheme="minorEastAsia"/>
                <w:color w:val="000000"/>
                <w:sz w:val="24"/>
                <w:u w:val="none"/>
                <w:lang w:eastAsia="zh-CN"/>
              </w:rPr>
              <w:t>：</w:t>
            </w:r>
            <w:r>
              <w:rPr>
                <w:rFonts w:hint="eastAsia" w:asciiTheme="minorEastAsia" w:hAnsiTheme="minorEastAsia" w:eastAsiaTheme="minorEastAsia" w:cstheme="minorEastAsia"/>
                <w:color w:val="000000"/>
                <w:sz w:val="24"/>
                <w:u w:val="single"/>
              </w:rPr>
              <w:t xml:space="preserve">                   </w:t>
            </w:r>
          </w:p>
          <w:p w14:paraId="1F588765">
            <w:pPr>
              <w:tabs>
                <w:tab w:val="left" w:pos="7665"/>
                <w:tab w:val="clear" w:pos="0"/>
              </w:tabs>
              <w:spacing w:line="400" w:lineRule="exact"/>
              <w:jc w:val="center"/>
              <w:rPr>
                <w:rFonts w:hint="eastAsia" w:asciiTheme="minorEastAsia" w:hAnsiTheme="minorEastAsia" w:eastAsiaTheme="minorEastAsia" w:cstheme="minorEastAsia"/>
                <w:b/>
                <w:color w:val="000000"/>
                <w:sz w:val="32"/>
                <w:szCs w:val="32"/>
              </w:rPr>
            </w:pPr>
          </w:p>
          <w:p w14:paraId="4831B189">
            <w:pPr>
              <w:pStyle w:val="39"/>
              <w:bidi w:val="0"/>
              <w:jc w:val="center"/>
              <w:rPr>
                <w:rFonts w:hint="eastAsia"/>
                <w:b/>
                <w:bCs/>
                <w:sz w:val="32"/>
                <w:szCs w:val="32"/>
                <w:lang w:eastAsia="zh-CN"/>
              </w:rPr>
            </w:pPr>
            <w:r>
              <w:rPr>
                <w:rFonts w:hint="eastAsia"/>
                <w:b/>
                <w:bCs/>
                <w:sz w:val="32"/>
                <w:szCs w:val="32"/>
                <w:lang w:eastAsia="zh-CN"/>
              </w:rPr>
              <w:t>资格、资质性及其他类似效力响应文件</w:t>
            </w:r>
          </w:p>
          <w:p w14:paraId="0540536B">
            <w:pPr>
              <w:pStyle w:val="39"/>
              <w:bidi w:val="0"/>
              <w:jc w:val="center"/>
              <w:rPr>
                <w:rFonts w:hint="eastAsia" w:eastAsia="宋体"/>
                <w:b/>
                <w:bCs/>
                <w:sz w:val="32"/>
                <w:szCs w:val="32"/>
                <w:lang w:val="en-US" w:eastAsia="zh-CN"/>
              </w:rPr>
            </w:pPr>
            <w:r>
              <w:rPr>
                <w:rFonts w:hint="eastAsia"/>
                <w:b/>
                <w:bCs/>
                <w:sz w:val="32"/>
                <w:szCs w:val="32"/>
                <w:lang w:val="en-US" w:eastAsia="zh-CN"/>
              </w:rPr>
              <w:t>/</w:t>
            </w:r>
            <w:r>
              <w:rPr>
                <w:rFonts w:hint="eastAsia"/>
                <w:b/>
                <w:bCs/>
                <w:sz w:val="32"/>
                <w:szCs w:val="32"/>
              </w:rPr>
              <w:t>其他响应文件</w:t>
            </w:r>
            <w:r>
              <w:rPr>
                <w:rFonts w:hint="eastAsia"/>
                <w:b/>
                <w:bCs/>
                <w:sz w:val="32"/>
                <w:szCs w:val="32"/>
                <w:lang w:val="en-US" w:eastAsia="zh-CN"/>
              </w:rPr>
              <w:t>/电子文档</w:t>
            </w:r>
          </w:p>
          <w:p w14:paraId="703FCEA3">
            <w:pPr>
              <w:tabs>
                <w:tab w:val="left" w:pos="7665"/>
                <w:tab w:val="clear" w:pos="0"/>
              </w:tabs>
              <w:spacing w:line="400" w:lineRule="exact"/>
              <w:ind w:firstLine="2280" w:firstLineChars="950"/>
              <w:rPr>
                <w:rFonts w:hint="eastAsia" w:asciiTheme="minorEastAsia" w:hAnsiTheme="minorEastAsia" w:eastAsiaTheme="minorEastAsia" w:cstheme="minorEastAsia"/>
                <w:color w:val="000000"/>
                <w:sz w:val="24"/>
                <w:u w:val="none"/>
              </w:rPr>
            </w:pPr>
          </w:p>
          <w:p w14:paraId="207F5ACC">
            <w:pPr>
              <w:tabs>
                <w:tab w:val="left" w:pos="7665"/>
                <w:tab w:val="clear" w:pos="0"/>
              </w:tabs>
              <w:spacing w:line="400" w:lineRule="exact"/>
              <w:ind w:firstLine="2280" w:firstLineChars="950"/>
              <w:rPr>
                <w:rFonts w:hint="eastAsia" w:asciiTheme="minorEastAsia" w:hAnsiTheme="minorEastAsia" w:eastAsiaTheme="minorEastAsia" w:cstheme="minorEastAsia"/>
                <w:color w:val="000000"/>
                <w:sz w:val="24"/>
                <w:u w:val="single"/>
              </w:rPr>
            </w:pPr>
            <w:r>
              <w:rPr>
                <w:rFonts w:hint="eastAsia" w:asciiTheme="minorEastAsia" w:hAnsiTheme="minorEastAsia" w:eastAsiaTheme="minorEastAsia" w:cstheme="minorEastAsia"/>
                <w:color w:val="000000"/>
                <w:sz w:val="24"/>
                <w:u w:val="none"/>
              </w:rPr>
              <w:t>供应商名称</w:t>
            </w:r>
            <w:r>
              <w:rPr>
                <w:rFonts w:hint="eastAsia" w:asciiTheme="minorEastAsia" w:hAnsiTheme="minorEastAsia" w:eastAsiaTheme="minorEastAsia" w:cstheme="minorEastAsia"/>
                <w:color w:val="000000"/>
                <w:sz w:val="24"/>
                <w:u w:val="none"/>
                <w:lang w:eastAsia="zh-CN"/>
              </w:rPr>
              <w:t>：</w:t>
            </w:r>
            <w:r>
              <w:rPr>
                <w:rFonts w:hint="eastAsia" w:asciiTheme="minorEastAsia" w:hAnsiTheme="minorEastAsia" w:eastAsiaTheme="minorEastAsia" w:cstheme="minorEastAsia"/>
                <w:color w:val="000000"/>
                <w:sz w:val="24"/>
                <w:u w:val="single"/>
              </w:rPr>
              <w:t xml:space="preserve">                 </w:t>
            </w:r>
          </w:p>
          <w:p w14:paraId="31538D75">
            <w:pPr>
              <w:pStyle w:val="39"/>
              <w:keepNext w:val="0"/>
              <w:keepLines w:val="0"/>
              <w:pageBreakBefore w:val="0"/>
              <w:widowControl w:val="0"/>
              <w:kinsoku/>
              <w:wordWrap/>
              <w:overflowPunct/>
              <w:topLinePunct w:val="0"/>
              <w:autoSpaceDE/>
              <w:autoSpaceDN/>
              <w:bidi w:val="0"/>
              <w:adjustRightInd w:val="0"/>
              <w:snapToGrid w:val="0"/>
              <w:ind w:firstLine="2280" w:firstLineChars="950"/>
              <w:textAlignment w:val="auto"/>
              <w:rPr>
                <w:rFonts w:hint="eastAsia"/>
              </w:rPr>
            </w:pPr>
            <w:r>
              <w:rPr>
                <w:rFonts w:hint="eastAsia" w:asciiTheme="minorEastAsia" w:hAnsiTheme="minorEastAsia" w:eastAsiaTheme="minorEastAsia" w:cstheme="minorEastAsia"/>
                <w:color w:val="000000"/>
                <w:sz w:val="24"/>
                <w:u w:val="none"/>
              </w:rPr>
              <w:t>磋商时间：</w:t>
            </w:r>
            <w:r>
              <w:rPr>
                <w:rFonts w:hint="eastAsia" w:asciiTheme="minorEastAsia" w:hAnsiTheme="minorEastAsia" w:eastAsiaTheme="minorEastAsia" w:cstheme="minorEastAsia"/>
                <w:color w:val="000000"/>
                <w:sz w:val="24"/>
                <w:u w:val="single"/>
              </w:rPr>
              <w:t xml:space="preserve">                   </w:t>
            </w:r>
            <w:r>
              <w:rPr>
                <w:rFonts w:hint="eastAsia"/>
              </w:rPr>
              <w:t xml:space="preserve">                   </w:t>
            </w:r>
          </w:p>
          <w:p w14:paraId="4505BBE3">
            <w:pPr>
              <w:pStyle w:val="39"/>
              <w:bidi w:val="0"/>
              <w:rPr>
                <w:rFonts w:hint="eastAsia"/>
              </w:rPr>
            </w:pPr>
          </w:p>
        </w:tc>
      </w:tr>
    </w:tbl>
    <w:p w14:paraId="00EE8C4D">
      <w:pPr>
        <w:pStyle w:val="39"/>
        <w:bidi w:val="0"/>
        <w:rPr>
          <w:rFonts w:hint="eastAsia"/>
          <w:lang w:val="en-US" w:eastAsia="zh-CN"/>
        </w:rPr>
      </w:pPr>
      <w:bookmarkStart w:id="274" w:name="_Toc6994"/>
      <w:bookmarkStart w:id="275" w:name="_Toc11581"/>
      <w:r>
        <w:rPr>
          <w:rFonts w:hint="eastAsia"/>
          <w:lang w:val="en-US" w:eastAsia="zh-CN"/>
        </w:rPr>
        <w:br w:type="page"/>
      </w:r>
    </w:p>
    <w:p w14:paraId="41A3BA6D">
      <w:pPr>
        <w:pStyle w:val="39"/>
        <w:bidi w:val="0"/>
        <w:rPr>
          <w:rFonts w:hint="eastAsia"/>
          <w:lang w:val="en-US" w:eastAsia="zh-CN"/>
        </w:rPr>
      </w:pPr>
      <w:r>
        <w:rPr>
          <w:rFonts w:hint="eastAsia"/>
          <w:lang w:val="en-US" w:eastAsia="zh-CN"/>
        </w:rPr>
        <w:t>响应文件封面格式</w:t>
      </w:r>
      <w:bookmarkEnd w:id="264"/>
      <w:bookmarkEnd w:id="265"/>
      <w:bookmarkEnd w:id="266"/>
      <w:bookmarkEnd w:id="267"/>
      <w:bookmarkEnd w:id="268"/>
      <w:bookmarkEnd w:id="269"/>
      <w:bookmarkEnd w:id="270"/>
      <w:bookmarkEnd w:id="271"/>
      <w:bookmarkEnd w:id="272"/>
      <w:bookmarkEnd w:id="273"/>
      <w:bookmarkEnd w:id="274"/>
      <w:bookmarkEnd w:id="275"/>
    </w:p>
    <w:p w14:paraId="637FCAC3">
      <w:pPr>
        <w:pStyle w:val="39"/>
        <w:bidi w:val="0"/>
        <w:rPr>
          <w:rFonts w:hint="eastAsia"/>
        </w:rPr>
      </w:pPr>
      <w:r>
        <w:rPr>
          <w:rFonts w:hint="eastAsia"/>
          <w:lang w:val="zh-CN" w:eastAsia="zh-CN"/>
        </w:rPr>
        <mc:AlternateContent>
          <mc:Choice Requires="wps">
            <w:drawing>
              <wp:anchor distT="0" distB="0" distL="114300" distR="114300" simplePos="0" relativeHeight="251659264" behindDoc="0" locked="0" layoutInCell="1" allowOverlap="1">
                <wp:simplePos x="0" y="0"/>
                <wp:positionH relativeFrom="column">
                  <wp:posOffset>4055745</wp:posOffset>
                </wp:positionH>
                <wp:positionV relativeFrom="paragraph">
                  <wp:posOffset>169545</wp:posOffset>
                </wp:positionV>
                <wp:extent cx="1137285" cy="331470"/>
                <wp:effectExtent l="4445" t="4445" r="16510" b="14605"/>
                <wp:wrapNone/>
                <wp:docPr id="5" name="矩形 5"/>
                <wp:cNvGraphicFramePr/>
                <a:graphic xmlns:a="http://schemas.openxmlformats.org/drawingml/2006/main">
                  <a:graphicData uri="http://schemas.microsoft.com/office/word/2010/wordprocessingShape">
                    <wps:wsp>
                      <wps:cNvSpPr/>
                      <wps:spPr>
                        <a:xfrm>
                          <a:off x="0" y="0"/>
                          <a:ext cx="1137285" cy="3314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9041DB7">
                            <w:pPr>
                              <w:rPr>
                                <w:rFonts w:hint="eastAsia" w:ascii="宋体" w:hAnsi="宋体" w:eastAsia="宋体" w:cs="宋体"/>
                                <w:b/>
                                <w:sz w:val="28"/>
                                <w:szCs w:val="28"/>
                              </w:rPr>
                            </w:pPr>
                            <w:r>
                              <w:rPr>
                                <w:rFonts w:hint="eastAsia" w:ascii="宋体" w:hAnsi="宋体" w:eastAsia="宋体" w:cs="宋体"/>
                                <w:b/>
                                <w:sz w:val="28"/>
                                <w:szCs w:val="28"/>
                              </w:rPr>
                              <w:t>正本或副本</w:t>
                            </w:r>
                          </w:p>
                        </w:txbxContent>
                      </wps:txbx>
                      <wps:bodyPr upright="1">
                        <a:spAutoFit/>
                      </wps:bodyPr>
                    </wps:wsp>
                  </a:graphicData>
                </a:graphic>
              </wp:anchor>
            </w:drawing>
          </mc:Choice>
          <mc:Fallback>
            <w:pict>
              <v:rect id="_x0000_s1026" o:spid="_x0000_s1026" o:spt="1" style="position:absolute;left:0pt;margin-left:319.35pt;margin-top:13.35pt;height:26.1pt;width:89.55pt;z-index:251659264;mso-width-relative:page;mso-height-relative:page;" fillcolor="#FFFFFF" filled="t" stroked="t" coordsize="21600,21600" o:gfxdata="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C9aPlZ1wAAAAkBAAAPAAAAAAAAAAEAIAAA&#10;ACIAAABkcnMvZG93bnJldi54bWxQSwECFAAUAAAACACHTuJAYguHLg0CAABDBAAADgAAAAAAAAAB&#10;ACAAAAAmAQAAZHJzL2Uyb0RvYy54bWxQSwUGAAAAAAYABgBZAQAApQUAAAAA&#10;">
                <v:fill on="t" focussize="0,0"/>
                <v:stroke color="#000000" joinstyle="miter"/>
                <v:imagedata o:title=""/>
                <o:lock v:ext="edit" aspectratio="f"/>
                <v:textbox style="mso-fit-shape-to-text:t;">
                  <w:txbxContent>
                    <w:p w14:paraId="69041DB7">
                      <w:pPr>
                        <w:rPr>
                          <w:rFonts w:hint="eastAsia" w:ascii="宋体" w:hAnsi="宋体" w:eastAsia="宋体" w:cs="宋体"/>
                          <w:b/>
                          <w:sz w:val="28"/>
                          <w:szCs w:val="28"/>
                        </w:rPr>
                      </w:pPr>
                      <w:r>
                        <w:rPr>
                          <w:rFonts w:hint="eastAsia" w:ascii="宋体" w:hAnsi="宋体" w:eastAsia="宋体" w:cs="宋体"/>
                          <w:b/>
                          <w:sz w:val="28"/>
                          <w:szCs w:val="28"/>
                        </w:rPr>
                        <w:t>正本或副本</w:t>
                      </w:r>
                    </w:p>
                  </w:txbxContent>
                </v:textbox>
              </v:rect>
            </w:pict>
          </mc:Fallback>
        </mc:AlternateContent>
      </w:r>
    </w:p>
    <w:p w14:paraId="4046D3F6">
      <w:pPr>
        <w:pStyle w:val="39"/>
        <w:bidi w:val="0"/>
        <w:rPr>
          <w:rFonts w:hint="eastAsia"/>
        </w:rPr>
      </w:pPr>
    </w:p>
    <w:p w14:paraId="24852A49">
      <w:pPr>
        <w:pStyle w:val="39"/>
        <w:bidi w:val="0"/>
        <w:rPr>
          <w:rFonts w:hint="eastAsia"/>
        </w:rPr>
      </w:pPr>
    </w:p>
    <w:p w14:paraId="69322F33">
      <w:pPr>
        <w:pStyle w:val="39"/>
        <w:bidi w:val="0"/>
        <w:rPr>
          <w:rFonts w:hint="eastAsia"/>
        </w:rPr>
      </w:pPr>
    </w:p>
    <w:p w14:paraId="24CAE0FB">
      <w:pPr>
        <w:pStyle w:val="39"/>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b/>
          <w:bCs/>
          <w:sz w:val="48"/>
          <w:szCs w:val="48"/>
          <w:lang w:eastAsia="zh-CN"/>
        </w:rPr>
      </w:pPr>
    </w:p>
    <w:p w14:paraId="2A150302">
      <w:pPr>
        <w:pStyle w:val="39"/>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b/>
          <w:bCs/>
          <w:sz w:val="48"/>
          <w:szCs w:val="48"/>
          <w:lang w:eastAsia="zh-CN"/>
        </w:rPr>
      </w:pPr>
      <w:r>
        <w:rPr>
          <w:rFonts w:hint="eastAsia"/>
          <w:b/>
          <w:bCs/>
          <w:sz w:val="48"/>
          <w:szCs w:val="48"/>
          <w:lang w:eastAsia="zh-CN"/>
        </w:rPr>
        <w:t>资格、资质性及其他类似效力</w:t>
      </w:r>
      <w:r>
        <w:rPr>
          <w:rFonts w:hint="eastAsia"/>
          <w:b/>
          <w:bCs/>
          <w:sz w:val="48"/>
          <w:szCs w:val="48"/>
          <w:lang w:val="en-US" w:eastAsia="zh-CN"/>
        </w:rPr>
        <w:t>响应</w:t>
      </w:r>
      <w:r>
        <w:rPr>
          <w:rFonts w:hint="eastAsia"/>
          <w:b/>
          <w:bCs/>
          <w:sz w:val="48"/>
          <w:szCs w:val="48"/>
          <w:lang w:eastAsia="zh-CN"/>
        </w:rPr>
        <w:t>文件</w:t>
      </w:r>
    </w:p>
    <w:p w14:paraId="77707C4F">
      <w:pPr>
        <w:pStyle w:val="39"/>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b/>
          <w:bCs/>
          <w:sz w:val="48"/>
          <w:szCs w:val="48"/>
        </w:rPr>
      </w:pPr>
      <w:r>
        <w:rPr>
          <w:rFonts w:hint="eastAsia"/>
          <w:b/>
          <w:bCs/>
          <w:sz w:val="48"/>
          <w:szCs w:val="48"/>
          <w:lang w:val="en-US" w:eastAsia="zh-CN"/>
        </w:rPr>
        <w:t>/</w:t>
      </w:r>
      <w:r>
        <w:rPr>
          <w:rFonts w:hint="eastAsia"/>
          <w:b/>
          <w:bCs/>
          <w:sz w:val="48"/>
          <w:szCs w:val="48"/>
        </w:rPr>
        <w:t>其他</w:t>
      </w:r>
      <w:r>
        <w:rPr>
          <w:rFonts w:hint="eastAsia"/>
          <w:b/>
          <w:bCs/>
          <w:sz w:val="48"/>
          <w:szCs w:val="48"/>
          <w:lang w:val="en-US" w:eastAsia="zh-CN"/>
        </w:rPr>
        <w:t>响应</w:t>
      </w:r>
      <w:r>
        <w:rPr>
          <w:rFonts w:hint="eastAsia"/>
          <w:b/>
          <w:bCs/>
          <w:sz w:val="48"/>
          <w:szCs w:val="48"/>
        </w:rPr>
        <w:t>文件</w:t>
      </w:r>
    </w:p>
    <w:p w14:paraId="46A640E5">
      <w:pPr>
        <w:pStyle w:val="39"/>
        <w:bidi w:val="0"/>
        <w:rPr>
          <w:rFonts w:hint="eastAsia"/>
        </w:rPr>
      </w:pPr>
    </w:p>
    <w:p w14:paraId="1D94CEB5">
      <w:pPr>
        <w:pStyle w:val="39"/>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00FB1BD7">
      <w:pPr>
        <w:pStyle w:val="39"/>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152D1163">
      <w:pPr>
        <w:pStyle w:val="39"/>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47D931D9">
      <w:pPr>
        <w:pStyle w:val="39"/>
        <w:keepNext w:val="0"/>
        <w:keepLines w:val="0"/>
        <w:pageBreakBefore w:val="0"/>
        <w:widowControl w:val="0"/>
        <w:kinsoku/>
        <w:wordWrap/>
        <w:overflowPunct/>
        <w:topLinePunct w:val="0"/>
        <w:autoSpaceDE/>
        <w:autoSpaceDN/>
        <w:bidi w:val="0"/>
        <w:adjustRightInd w:val="0"/>
        <w:snapToGrid w:val="0"/>
        <w:spacing w:line="480" w:lineRule="auto"/>
        <w:ind w:left="2400" w:leftChars="1000"/>
        <w:textAlignment w:val="auto"/>
        <w:rPr>
          <w:rFonts w:hint="eastAsia"/>
          <w:b/>
          <w:bCs/>
          <w:sz w:val="32"/>
          <w:szCs w:val="32"/>
        </w:rPr>
      </w:pPr>
    </w:p>
    <w:p w14:paraId="5D63DB17">
      <w:pPr>
        <w:pStyle w:val="39"/>
        <w:keepNext w:val="0"/>
        <w:keepLines w:val="0"/>
        <w:pageBreakBefore w:val="0"/>
        <w:widowControl w:val="0"/>
        <w:kinsoku/>
        <w:wordWrap/>
        <w:overflowPunct/>
        <w:topLinePunct w:val="0"/>
        <w:autoSpaceDE/>
        <w:autoSpaceDN/>
        <w:bidi w:val="0"/>
        <w:adjustRightInd w:val="0"/>
        <w:snapToGrid w:val="0"/>
        <w:spacing w:line="480" w:lineRule="auto"/>
        <w:ind w:left="2405" w:leftChars="500" w:hanging="1205" w:hangingChars="375"/>
        <w:textAlignment w:val="auto"/>
        <w:rPr>
          <w:rFonts w:hint="eastAsia"/>
          <w:b/>
          <w:bCs/>
          <w:sz w:val="32"/>
          <w:szCs w:val="32"/>
        </w:rPr>
      </w:pPr>
      <w:r>
        <w:rPr>
          <w:rFonts w:hint="eastAsia"/>
          <w:b/>
          <w:bCs/>
          <w:sz w:val="32"/>
          <w:szCs w:val="32"/>
        </w:rPr>
        <w:t>项目名称：</w:t>
      </w:r>
      <w:r>
        <w:rPr>
          <w:rFonts w:hint="eastAsia" w:asciiTheme="minorEastAsia" w:hAnsiTheme="minorEastAsia" w:eastAsiaTheme="minorEastAsia" w:cstheme="minorEastAsia"/>
          <w:b/>
          <w:bCs/>
          <w:color w:val="auto"/>
          <w:sz w:val="32"/>
          <w:szCs w:val="32"/>
          <w:highlight w:val="none"/>
          <w:u w:val="single"/>
        </w:rPr>
        <w:t xml:space="preserve">                    </w:t>
      </w:r>
      <w:r>
        <w:rPr>
          <w:rFonts w:hint="eastAsia"/>
          <w:b/>
          <w:bCs/>
          <w:sz w:val="32"/>
          <w:szCs w:val="32"/>
        </w:rPr>
        <w:t xml:space="preserve">                      </w:t>
      </w:r>
    </w:p>
    <w:p w14:paraId="6D289C08">
      <w:pPr>
        <w:pStyle w:val="39"/>
        <w:keepNext w:val="0"/>
        <w:keepLines w:val="0"/>
        <w:pageBreakBefore w:val="0"/>
        <w:widowControl w:val="0"/>
        <w:kinsoku/>
        <w:wordWrap/>
        <w:overflowPunct/>
        <w:topLinePunct w:val="0"/>
        <w:autoSpaceDE/>
        <w:autoSpaceDN/>
        <w:bidi w:val="0"/>
        <w:adjustRightInd w:val="0"/>
        <w:snapToGrid w:val="0"/>
        <w:spacing w:line="480" w:lineRule="auto"/>
        <w:ind w:left="2405" w:leftChars="500" w:hanging="1205" w:hangingChars="375"/>
        <w:textAlignment w:val="auto"/>
        <w:rPr>
          <w:rFonts w:hint="eastAsia"/>
          <w:b/>
          <w:bCs/>
          <w:sz w:val="32"/>
          <w:szCs w:val="32"/>
        </w:rPr>
      </w:pPr>
      <w:r>
        <w:rPr>
          <w:rFonts w:hint="eastAsia"/>
          <w:b/>
          <w:bCs/>
          <w:sz w:val="32"/>
          <w:szCs w:val="32"/>
        </w:rPr>
        <w:t>项目编号：</w:t>
      </w:r>
      <w:r>
        <w:rPr>
          <w:rFonts w:hint="eastAsia" w:asciiTheme="minorEastAsia" w:hAnsiTheme="minorEastAsia" w:eastAsiaTheme="minorEastAsia" w:cstheme="minorEastAsia"/>
          <w:b/>
          <w:bCs/>
          <w:color w:val="auto"/>
          <w:sz w:val="32"/>
          <w:szCs w:val="32"/>
          <w:highlight w:val="none"/>
          <w:u w:val="single"/>
        </w:rPr>
        <w:t xml:space="preserve">                    </w:t>
      </w:r>
      <w:r>
        <w:rPr>
          <w:rFonts w:hint="eastAsia"/>
          <w:b/>
          <w:bCs/>
          <w:sz w:val="32"/>
          <w:szCs w:val="32"/>
        </w:rPr>
        <w:t xml:space="preserve">                      </w:t>
      </w:r>
    </w:p>
    <w:p w14:paraId="0134F273">
      <w:pPr>
        <w:pStyle w:val="39"/>
        <w:keepNext w:val="0"/>
        <w:keepLines w:val="0"/>
        <w:pageBreakBefore w:val="0"/>
        <w:widowControl w:val="0"/>
        <w:kinsoku/>
        <w:wordWrap/>
        <w:overflowPunct/>
        <w:topLinePunct w:val="0"/>
        <w:autoSpaceDE/>
        <w:autoSpaceDN/>
        <w:bidi w:val="0"/>
        <w:adjustRightInd w:val="0"/>
        <w:snapToGrid w:val="0"/>
        <w:spacing w:line="480" w:lineRule="auto"/>
        <w:ind w:left="2405" w:leftChars="500" w:hanging="1205" w:hangingChars="375"/>
        <w:textAlignment w:val="auto"/>
        <w:rPr>
          <w:rFonts w:hint="eastAsia"/>
          <w:b/>
          <w:bCs/>
          <w:sz w:val="32"/>
          <w:szCs w:val="32"/>
        </w:rPr>
      </w:pPr>
      <w:r>
        <w:rPr>
          <w:rFonts w:hint="eastAsia"/>
          <w:b/>
          <w:bCs/>
          <w:sz w:val="32"/>
          <w:szCs w:val="32"/>
          <w:lang w:val="en-US" w:eastAsia="zh-CN"/>
        </w:rPr>
        <w:t>供应商</w:t>
      </w:r>
      <w:r>
        <w:rPr>
          <w:rFonts w:hint="eastAsia"/>
          <w:b/>
          <w:bCs/>
          <w:sz w:val="32"/>
          <w:szCs w:val="32"/>
        </w:rPr>
        <w:t>名称：</w:t>
      </w:r>
      <w:r>
        <w:rPr>
          <w:rFonts w:hint="eastAsia" w:asciiTheme="minorEastAsia" w:hAnsiTheme="minorEastAsia" w:eastAsiaTheme="minorEastAsia" w:cstheme="minorEastAsia"/>
          <w:b/>
          <w:bCs/>
          <w:color w:val="auto"/>
          <w:sz w:val="32"/>
          <w:szCs w:val="32"/>
          <w:highlight w:val="none"/>
          <w:u w:val="single"/>
        </w:rPr>
        <w:t xml:space="preserve">                  </w:t>
      </w:r>
      <w:r>
        <w:rPr>
          <w:rFonts w:hint="eastAsia"/>
          <w:b/>
          <w:bCs/>
          <w:sz w:val="32"/>
          <w:szCs w:val="32"/>
        </w:rPr>
        <w:t xml:space="preserve">          </w:t>
      </w:r>
      <w:r>
        <w:rPr>
          <w:rFonts w:hint="eastAsia"/>
          <w:b/>
          <w:bCs/>
          <w:sz w:val="32"/>
          <w:szCs w:val="32"/>
          <w:lang w:val="en-US" w:eastAsia="zh-CN"/>
        </w:rPr>
        <w:t xml:space="preserve"> </w:t>
      </w:r>
      <w:r>
        <w:rPr>
          <w:rFonts w:hint="eastAsia"/>
          <w:b/>
          <w:bCs/>
          <w:sz w:val="32"/>
          <w:szCs w:val="32"/>
        </w:rPr>
        <w:t xml:space="preserve">     </w:t>
      </w:r>
    </w:p>
    <w:p w14:paraId="42DDB23C">
      <w:pPr>
        <w:pStyle w:val="39"/>
        <w:keepNext w:val="0"/>
        <w:keepLines w:val="0"/>
        <w:pageBreakBefore w:val="0"/>
        <w:widowControl w:val="0"/>
        <w:kinsoku/>
        <w:wordWrap/>
        <w:overflowPunct/>
        <w:topLinePunct w:val="0"/>
        <w:autoSpaceDE/>
        <w:autoSpaceDN/>
        <w:bidi w:val="0"/>
        <w:adjustRightInd w:val="0"/>
        <w:snapToGrid w:val="0"/>
        <w:spacing w:line="480" w:lineRule="auto"/>
        <w:ind w:left="2405" w:leftChars="500" w:hanging="1205" w:hangingChars="375"/>
        <w:textAlignment w:val="auto"/>
        <w:rPr>
          <w:rFonts w:hint="eastAsia"/>
          <w:b/>
          <w:bCs/>
          <w:sz w:val="32"/>
          <w:szCs w:val="32"/>
        </w:rPr>
      </w:pPr>
      <w:r>
        <w:rPr>
          <w:rFonts w:hint="eastAsia"/>
          <w:b/>
          <w:bCs/>
          <w:sz w:val="32"/>
          <w:szCs w:val="32"/>
          <w:lang w:val="en-US" w:eastAsia="zh-CN"/>
        </w:rPr>
        <w:t>磋商</w:t>
      </w:r>
      <w:r>
        <w:rPr>
          <w:rFonts w:hint="eastAsia"/>
          <w:b/>
          <w:bCs/>
          <w:sz w:val="32"/>
          <w:szCs w:val="32"/>
        </w:rPr>
        <w:t>日期：</w:t>
      </w:r>
      <w:r>
        <w:rPr>
          <w:rFonts w:hint="eastAsia"/>
          <w:b/>
          <w:bCs/>
          <w:sz w:val="32"/>
          <w:szCs w:val="32"/>
          <w:u w:val="single"/>
        </w:rPr>
        <w:t xml:space="preserve">   </w:t>
      </w:r>
      <w:r>
        <w:rPr>
          <w:rFonts w:hint="eastAsia"/>
          <w:b/>
          <w:bCs/>
          <w:sz w:val="32"/>
          <w:szCs w:val="32"/>
          <w:u w:val="single"/>
          <w:lang w:val="en-US" w:eastAsia="zh-CN"/>
        </w:rPr>
        <w:t xml:space="preserve">  </w:t>
      </w:r>
      <w:r>
        <w:rPr>
          <w:rFonts w:hint="eastAsia"/>
          <w:b/>
          <w:bCs/>
          <w:sz w:val="32"/>
          <w:szCs w:val="32"/>
          <w:u w:val="single"/>
        </w:rPr>
        <w:t xml:space="preserve"> </w:t>
      </w:r>
      <w:r>
        <w:rPr>
          <w:rFonts w:hint="eastAsia"/>
          <w:b/>
          <w:bCs/>
          <w:sz w:val="32"/>
          <w:szCs w:val="32"/>
        </w:rPr>
        <w:t>年</w:t>
      </w:r>
      <w:r>
        <w:rPr>
          <w:rFonts w:hint="eastAsia"/>
          <w:b/>
          <w:bCs/>
          <w:sz w:val="32"/>
          <w:szCs w:val="32"/>
          <w:u w:val="single"/>
        </w:rPr>
        <w:t xml:space="preserve">    </w:t>
      </w:r>
      <w:r>
        <w:rPr>
          <w:rFonts w:hint="eastAsia"/>
          <w:b/>
          <w:bCs/>
          <w:sz w:val="32"/>
          <w:szCs w:val="32"/>
        </w:rPr>
        <w:t>月</w:t>
      </w:r>
      <w:r>
        <w:rPr>
          <w:rFonts w:hint="eastAsia"/>
          <w:b/>
          <w:bCs/>
          <w:sz w:val="32"/>
          <w:szCs w:val="32"/>
          <w:u w:val="single"/>
        </w:rPr>
        <w:t xml:space="preserve">    </w:t>
      </w:r>
      <w:r>
        <w:rPr>
          <w:rFonts w:hint="eastAsia"/>
          <w:b/>
          <w:bCs/>
          <w:sz w:val="32"/>
          <w:szCs w:val="32"/>
        </w:rPr>
        <w:t>日</w:t>
      </w:r>
    </w:p>
    <w:p w14:paraId="16DDC6EB">
      <w:pPr>
        <w:pStyle w:val="48"/>
        <w:bidi w:val="0"/>
        <w:rPr>
          <w:rFonts w:hint="eastAsia"/>
        </w:rPr>
      </w:pPr>
      <w:bookmarkStart w:id="276" w:name="_Toc5565"/>
      <w:bookmarkStart w:id="277" w:name="_Toc5306"/>
      <w:bookmarkStart w:id="278" w:name="_Toc31011"/>
      <w:bookmarkStart w:id="279" w:name="_Toc11556"/>
      <w:r>
        <w:rPr>
          <w:rFonts w:hint="eastAsia"/>
        </w:rPr>
        <w:br w:type="page"/>
      </w:r>
    </w:p>
    <w:bookmarkEnd w:id="276"/>
    <w:bookmarkEnd w:id="277"/>
    <w:bookmarkEnd w:id="278"/>
    <w:bookmarkEnd w:id="279"/>
    <w:p w14:paraId="34987B7D">
      <w:pPr>
        <w:pStyle w:val="48"/>
        <w:bidi w:val="0"/>
        <w:rPr>
          <w:rFonts w:hint="eastAsia"/>
        </w:rPr>
      </w:pPr>
      <w:bookmarkStart w:id="280" w:name="_Toc15611"/>
    </w:p>
    <w:p w14:paraId="56FD85A7">
      <w:pPr>
        <w:pStyle w:val="48"/>
        <w:bidi w:val="0"/>
        <w:rPr>
          <w:rFonts w:hint="eastAsia"/>
        </w:rPr>
      </w:pPr>
    </w:p>
    <w:p w14:paraId="5FC886EE">
      <w:pPr>
        <w:pStyle w:val="48"/>
        <w:bidi w:val="0"/>
        <w:rPr>
          <w:rFonts w:hint="eastAsia"/>
        </w:rPr>
      </w:pPr>
    </w:p>
    <w:p w14:paraId="2FE589E3">
      <w:pPr>
        <w:pStyle w:val="48"/>
        <w:bidi w:val="0"/>
        <w:rPr>
          <w:rFonts w:hint="eastAsia"/>
        </w:rPr>
      </w:pPr>
    </w:p>
    <w:p w14:paraId="2860E07C">
      <w:pPr>
        <w:pStyle w:val="48"/>
        <w:bidi w:val="0"/>
        <w:rPr>
          <w:rFonts w:hint="eastAsia"/>
        </w:rPr>
      </w:pPr>
    </w:p>
    <w:p w14:paraId="29F9A2CA">
      <w:pPr>
        <w:pStyle w:val="48"/>
        <w:bidi w:val="0"/>
        <w:rPr>
          <w:rFonts w:hint="eastAsia"/>
        </w:rPr>
      </w:pPr>
    </w:p>
    <w:p w14:paraId="4ED7E1F3">
      <w:pPr>
        <w:pStyle w:val="48"/>
        <w:bidi w:val="0"/>
        <w:rPr>
          <w:rFonts w:hint="eastAsia"/>
        </w:rPr>
      </w:pPr>
    </w:p>
    <w:p w14:paraId="4D512A94">
      <w:pPr>
        <w:pStyle w:val="48"/>
        <w:bidi w:val="0"/>
        <w:rPr>
          <w:rFonts w:hint="eastAsia"/>
          <w:lang w:val="en-US" w:eastAsia="zh-CN"/>
        </w:rPr>
      </w:pPr>
      <w:bookmarkStart w:id="281" w:name="_Toc24630"/>
    </w:p>
    <w:p w14:paraId="0359F378">
      <w:pPr>
        <w:pStyle w:val="48"/>
        <w:bidi w:val="0"/>
        <w:rPr>
          <w:rFonts w:hint="eastAsia"/>
          <w:lang w:val="en-US" w:eastAsia="zh-CN"/>
        </w:rPr>
      </w:pPr>
    </w:p>
    <w:p w14:paraId="0F0EA6C8">
      <w:pPr>
        <w:pStyle w:val="48"/>
        <w:bidi w:val="0"/>
        <w:rPr>
          <w:rFonts w:hint="eastAsia"/>
          <w:lang w:val="en-US" w:eastAsia="zh-CN"/>
        </w:rPr>
      </w:pPr>
    </w:p>
    <w:p w14:paraId="79F1EB1A">
      <w:pPr>
        <w:pStyle w:val="48"/>
        <w:bidi w:val="0"/>
        <w:rPr>
          <w:rFonts w:hint="eastAsia"/>
          <w:lang w:val="en-US" w:eastAsia="zh-CN"/>
        </w:rPr>
      </w:pPr>
    </w:p>
    <w:p w14:paraId="1AC6A9C3">
      <w:pPr>
        <w:pStyle w:val="48"/>
        <w:bidi w:val="0"/>
        <w:rPr>
          <w:rFonts w:hint="eastAsia"/>
          <w:lang w:val="en-US" w:eastAsia="zh-CN"/>
        </w:rPr>
      </w:pPr>
    </w:p>
    <w:p w14:paraId="6DA829A3">
      <w:pPr>
        <w:pStyle w:val="40"/>
        <w:keepNext w:val="0"/>
        <w:keepLines w:val="0"/>
        <w:pageBreakBefore w:val="0"/>
        <w:widowControl w:val="0"/>
        <w:numPr>
          <w:ilvl w:val="1"/>
          <w:numId w:val="0"/>
        </w:numPr>
        <w:kinsoku/>
        <w:wordWrap w:val="0"/>
        <w:overflowPunct/>
        <w:topLinePunct/>
        <w:autoSpaceDE/>
        <w:autoSpaceDN/>
        <w:bidi w:val="0"/>
        <w:adjustRightInd w:val="0"/>
        <w:snapToGrid w:val="0"/>
        <w:spacing w:before="625" w:beforeLines="200"/>
        <w:jc w:val="center"/>
        <w:textAlignment w:val="auto"/>
        <w:rPr>
          <w:rFonts w:hint="eastAsia"/>
          <w:sz w:val="32"/>
          <w:szCs w:val="32"/>
        </w:rPr>
      </w:pPr>
      <w:bookmarkStart w:id="282" w:name="_Toc24442"/>
      <w:bookmarkStart w:id="283" w:name="_Toc19032"/>
      <w:bookmarkStart w:id="284" w:name="_Toc30855"/>
      <w:r>
        <w:rPr>
          <w:rFonts w:hint="eastAsia"/>
          <w:sz w:val="32"/>
          <w:szCs w:val="32"/>
          <w:lang w:val="en-US" w:eastAsia="zh-CN"/>
        </w:rPr>
        <w:t>第一部</w:t>
      </w:r>
      <w:r>
        <w:rPr>
          <w:rFonts w:hint="eastAsia"/>
          <w:sz w:val="32"/>
          <w:szCs w:val="32"/>
        </w:rPr>
        <w:t>分 资格、资质性及其他类似效力</w:t>
      </w:r>
      <w:r>
        <w:rPr>
          <w:rFonts w:hint="eastAsia"/>
          <w:sz w:val="32"/>
          <w:szCs w:val="32"/>
          <w:lang w:val="en-US" w:eastAsia="zh-CN"/>
        </w:rPr>
        <w:t>响应</w:t>
      </w:r>
      <w:r>
        <w:rPr>
          <w:rFonts w:hint="eastAsia"/>
          <w:sz w:val="32"/>
          <w:szCs w:val="32"/>
        </w:rPr>
        <w:t>文件(格式)</w:t>
      </w:r>
      <w:bookmarkEnd w:id="280"/>
      <w:bookmarkEnd w:id="281"/>
      <w:bookmarkEnd w:id="282"/>
      <w:bookmarkEnd w:id="283"/>
      <w:bookmarkEnd w:id="284"/>
      <w:bookmarkStart w:id="285" w:name="_Toc16168"/>
      <w:bookmarkStart w:id="286" w:name="_Toc23537"/>
    </w:p>
    <w:p w14:paraId="63BFC12A">
      <w:pPr>
        <w:pStyle w:val="48"/>
        <w:bidi w:val="0"/>
        <w:rPr>
          <w:rFonts w:hint="eastAsia"/>
        </w:rPr>
      </w:pPr>
      <w:r>
        <w:rPr>
          <w:rFonts w:hint="eastAsia"/>
        </w:rPr>
        <w:br w:type="page"/>
      </w:r>
      <w:bookmarkEnd w:id="285"/>
      <w:bookmarkEnd w:id="286"/>
      <w:bookmarkStart w:id="287" w:name="_Toc26837"/>
      <w:bookmarkStart w:id="288" w:name="_Toc4996"/>
    </w:p>
    <w:p w14:paraId="1CF03C4A">
      <w:pPr>
        <w:pStyle w:val="49"/>
        <w:keepNext w:val="0"/>
        <w:keepLines w:val="0"/>
        <w:widowControl w:val="0"/>
        <w:numPr>
          <w:ilvl w:val="0"/>
          <w:numId w:val="12"/>
        </w:numPr>
        <w:kinsoku/>
        <w:overflowPunct/>
        <w:autoSpaceDE/>
        <w:autoSpaceDN/>
        <w:bidi w:val="0"/>
        <w:spacing w:line="520" w:lineRule="exact"/>
        <w:ind w:left="0" w:leftChars="0" w:firstLine="0" w:firstLineChars="0"/>
        <w:textAlignment w:val="auto"/>
        <w:rPr>
          <w:rFonts w:hint="eastAsia"/>
        </w:rPr>
      </w:pPr>
      <w:bookmarkStart w:id="289" w:name="_Toc16989"/>
      <w:bookmarkStart w:id="290" w:name="_Toc14778"/>
      <w:bookmarkStart w:id="291" w:name="_Toc14631"/>
      <w:r>
        <w:rPr>
          <w:rFonts w:hint="eastAsia"/>
        </w:rPr>
        <w:t>法定代表人</w:t>
      </w:r>
      <w:r>
        <w:rPr>
          <w:rFonts w:hint="eastAsia"/>
          <w:lang w:val="en-US" w:eastAsia="zh-CN"/>
        </w:rPr>
        <w:t>/单位负责人</w:t>
      </w:r>
      <w:r>
        <w:rPr>
          <w:rFonts w:hint="eastAsia"/>
        </w:rPr>
        <w:t>授权书</w:t>
      </w:r>
      <w:bookmarkEnd w:id="287"/>
      <w:bookmarkEnd w:id="288"/>
      <w:bookmarkEnd w:id="289"/>
      <w:bookmarkEnd w:id="290"/>
      <w:bookmarkEnd w:id="291"/>
    </w:p>
    <w:p w14:paraId="60EB3FBE">
      <w:pPr>
        <w:pStyle w:val="48"/>
        <w:keepNext w:val="0"/>
        <w:keepLines w:val="0"/>
        <w:widowControl w:val="0"/>
        <w:kinsoku/>
        <w:overflowPunct/>
        <w:autoSpaceDE/>
        <w:autoSpaceDN/>
        <w:bidi w:val="0"/>
        <w:spacing w:line="520" w:lineRule="exact"/>
        <w:textAlignment w:val="auto"/>
        <w:rPr>
          <w:rFonts w:hint="eastAsia"/>
        </w:rPr>
      </w:pPr>
      <w:r>
        <w:rPr>
          <w:rFonts w:hint="eastAsia" w:asciiTheme="minorEastAsia" w:hAnsiTheme="minorEastAsia" w:eastAsiaTheme="minorEastAsia" w:cstheme="minorEastAsia"/>
          <w:color w:val="auto"/>
          <w:sz w:val="24"/>
          <w:szCs w:val="24"/>
          <w:highlight w:val="none"/>
          <w:u w:val="single"/>
        </w:rPr>
        <w:t xml:space="preserve">                     </w:t>
      </w:r>
      <w:r>
        <w:rPr>
          <w:rFonts w:hint="eastAsia"/>
        </w:rPr>
        <w:t>(采购代理机构名称)：</w:t>
      </w:r>
    </w:p>
    <w:p w14:paraId="27745127">
      <w:pPr>
        <w:pStyle w:val="51"/>
        <w:keepNext w:val="0"/>
        <w:keepLines w:val="0"/>
        <w:widowControl w:val="0"/>
        <w:kinsoku/>
        <w:overflowPunct/>
        <w:autoSpaceDE/>
        <w:autoSpaceDN/>
        <w:bidi w:val="0"/>
        <w:spacing w:line="520" w:lineRule="exact"/>
        <w:textAlignment w:val="auto"/>
        <w:rPr>
          <w:rFonts w:hint="eastAsia"/>
        </w:rPr>
      </w:pPr>
      <w:r>
        <w:rPr>
          <w:rFonts w:hint="eastAsia"/>
        </w:rPr>
        <w:t>本授权声明：</w:t>
      </w:r>
      <w:r>
        <w:rPr>
          <w:rFonts w:hint="eastAsia" w:asciiTheme="minorEastAsia" w:hAnsiTheme="minorEastAsia" w:eastAsiaTheme="minorEastAsia" w:cstheme="minorEastAsia"/>
          <w:color w:val="auto"/>
          <w:sz w:val="24"/>
          <w:szCs w:val="24"/>
          <w:highlight w:val="none"/>
          <w:u w:val="single"/>
        </w:rPr>
        <w:t xml:space="preserve">                     </w:t>
      </w:r>
      <w:r>
        <w:rPr>
          <w:rFonts w:hint="eastAsia"/>
        </w:rPr>
        <w:t>(</w:t>
      </w:r>
      <w:r>
        <w:rPr>
          <w:rFonts w:hint="eastAsia"/>
          <w:lang w:eastAsia="zh-CN"/>
        </w:rPr>
        <w:t>供应商</w:t>
      </w:r>
      <w:r>
        <w:rPr>
          <w:rFonts w:hint="eastAsia"/>
        </w:rPr>
        <w:t>名称)</w:t>
      </w:r>
      <w:r>
        <w:rPr>
          <w:rFonts w:hint="eastAsia" w:asciiTheme="minorEastAsia" w:hAnsiTheme="minorEastAsia" w:eastAsiaTheme="minorEastAsia" w:cstheme="minorEastAsia"/>
          <w:color w:val="auto"/>
          <w:sz w:val="24"/>
          <w:szCs w:val="24"/>
          <w:highlight w:val="none"/>
          <w:u w:val="single"/>
        </w:rPr>
        <w:t xml:space="preserve">          </w:t>
      </w:r>
      <w:r>
        <w:rPr>
          <w:rFonts w:hint="eastAsia"/>
        </w:rPr>
        <w:t>(法定代表人</w:t>
      </w:r>
      <w:r>
        <w:rPr>
          <w:rFonts w:hint="eastAsia"/>
          <w:lang w:val="en-US" w:eastAsia="zh-CN"/>
        </w:rPr>
        <w:t>/单位负责人</w:t>
      </w:r>
      <w:r>
        <w:rPr>
          <w:rFonts w:hint="eastAsia"/>
        </w:rPr>
        <w:t>姓名、职务)授权</w:t>
      </w:r>
      <w:r>
        <w:rPr>
          <w:rFonts w:hint="eastAsia" w:asciiTheme="minorEastAsia" w:hAnsiTheme="minorEastAsia" w:eastAsiaTheme="minorEastAsia" w:cstheme="minorEastAsia"/>
          <w:color w:val="auto"/>
          <w:sz w:val="24"/>
          <w:szCs w:val="24"/>
          <w:highlight w:val="none"/>
          <w:u w:val="single"/>
        </w:rPr>
        <w:t xml:space="preserve">                        </w:t>
      </w:r>
      <w:r>
        <w:rPr>
          <w:rFonts w:hint="eastAsia"/>
        </w:rPr>
        <w:t>(被授权人姓名、职务、身份证号码</w:t>
      </w:r>
      <w:r>
        <w:rPr>
          <w:rFonts w:hint="eastAsia"/>
          <w:lang w:eastAsia="zh-CN"/>
        </w:rPr>
        <w:t>、</w:t>
      </w:r>
      <w:r>
        <w:rPr>
          <w:rFonts w:hint="eastAsia"/>
          <w:lang w:val="en-US" w:eastAsia="zh-CN"/>
        </w:rPr>
        <w:t>联系方式</w:t>
      </w:r>
      <w:r>
        <w:rPr>
          <w:rFonts w:hint="eastAsia"/>
        </w:rPr>
        <w:t>)为我方参加“</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lang w:eastAsia="zh-CN"/>
        </w:rPr>
        <w:t>(</w:t>
      </w:r>
      <w:r>
        <w:rPr>
          <w:rFonts w:hint="eastAsia"/>
        </w:rPr>
        <w:t>项目名称</w:t>
      </w:r>
      <w:r>
        <w:rPr>
          <w:rFonts w:hint="eastAsia"/>
          <w:lang w:eastAsia="zh-CN"/>
        </w:rPr>
        <w:t>)</w:t>
      </w:r>
      <w:r>
        <w:rPr>
          <w:rFonts w:hint="eastAsia"/>
        </w:rPr>
        <w:t>(项目编号</w:t>
      </w:r>
      <w:r>
        <w:rPr>
          <w:rFonts w:hint="eastAsia"/>
          <w:lang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lang w:eastAsia="zh-CN"/>
        </w:rPr>
        <w:t>)</w:t>
      </w:r>
      <w:r>
        <w:rPr>
          <w:rFonts w:hint="eastAsia"/>
        </w:rPr>
        <w:t>”</w:t>
      </w:r>
      <w:r>
        <w:rPr>
          <w:rFonts w:hint="eastAsia"/>
          <w:lang w:val="en-US" w:eastAsia="zh-CN"/>
        </w:rPr>
        <w:t>采购活动</w:t>
      </w:r>
      <w:r>
        <w:rPr>
          <w:rFonts w:hint="eastAsia"/>
        </w:rPr>
        <w:t>的合法代表，以我方名义全权处理</w:t>
      </w:r>
      <w:r>
        <w:rPr>
          <w:rFonts w:hint="eastAsia"/>
          <w:lang w:val="en-US" w:eastAsia="zh-CN"/>
        </w:rPr>
        <w:t>参与</w:t>
      </w:r>
      <w:r>
        <w:rPr>
          <w:rFonts w:hint="eastAsia"/>
        </w:rPr>
        <w:t>该项目</w:t>
      </w:r>
      <w:r>
        <w:rPr>
          <w:rFonts w:hint="eastAsia"/>
          <w:lang w:val="en-US" w:eastAsia="zh-CN"/>
        </w:rPr>
        <w:t>采购活动</w:t>
      </w:r>
      <w:r>
        <w:rPr>
          <w:rFonts w:hint="eastAsia"/>
        </w:rPr>
        <w:t>、合同签订以及</w:t>
      </w:r>
      <w:r>
        <w:rPr>
          <w:rFonts w:hint="eastAsia"/>
          <w:lang w:val="en-US" w:eastAsia="zh-CN"/>
        </w:rPr>
        <w:t>合同履约中的</w:t>
      </w:r>
      <w:r>
        <w:rPr>
          <w:rFonts w:hint="eastAsia"/>
        </w:rPr>
        <w:t>一切事宜，我</w:t>
      </w:r>
      <w:r>
        <w:rPr>
          <w:rFonts w:hint="eastAsia"/>
          <w:lang w:val="en-US" w:eastAsia="zh-CN"/>
        </w:rPr>
        <w:t>单位</w:t>
      </w:r>
      <w:r>
        <w:rPr>
          <w:rFonts w:hint="eastAsia"/>
        </w:rPr>
        <w:t>均予承认，所产生的法律后果均由我单位承担。</w:t>
      </w:r>
    </w:p>
    <w:p w14:paraId="0627AF77">
      <w:pPr>
        <w:pStyle w:val="51"/>
        <w:keepNext w:val="0"/>
        <w:keepLines w:val="0"/>
        <w:widowControl w:val="0"/>
        <w:kinsoku/>
        <w:overflowPunct/>
        <w:autoSpaceDE/>
        <w:autoSpaceDN/>
        <w:bidi w:val="0"/>
        <w:spacing w:line="520" w:lineRule="exact"/>
        <w:textAlignment w:val="auto"/>
        <w:rPr>
          <w:rFonts w:hint="eastAsia"/>
        </w:rPr>
      </w:pPr>
      <w:r>
        <w:rPr>
          <w:rFonts w:hint="eastAsia"/>
        </w:rPr>
        <w:t>特此声明。</w:t>
      </w:r>
    </w:p>
    <w:p w14:paraId="39A83B86">
      <w:pPr>
        <w:pStyle w:val="48"/>
        <w:keepNext w:val="0"/>
        <w:keepLines w:val="0"/>
        <w:widowControl w:val="0"/>
        <w:kinsoku/>
        <w:overflowPunct/>
        <w:autoSpaceDE/>
        <w:autoSpaceDN/>
        <w:bidi w:val="0"/>
        <w:spacing w:line="520" w:lineRule="exact"/>
        <w:textAlignment w:val="auto"/>
        <w:rPr>
          <w:rFonts w:hint="eastAsia"/>
        </w:rPr>
      </w:pPr>
    </w:p>
    <w:p w14:paraId="4F6303DA">
      <w:pPr>
        <w:pStyle w:val="48"/>
        <w:keepNext w:val="0"/>
        <w:keepLines w:val="0"/>
        <w:widowControl w:val="0"/>
        <w:kinsoku/>
        <w:overflowPunct/>
        <w:autoSpaceDE/>
        <w:autoSpaceDN/>
        <w:bidi w:val="0"/>
        <w:spacing w:line="520" w:lineRule="exact"/>
        <w:textAlignment w:val="auto"/>
        <w:rPr>
          <w:rFonts w:hint="eastAsia"/>
        </w:rPr>
      </w:pPr>
    </w:p>
    <w:p w14:paraId="36511B58">
      <w:pPr>
        <w:pStyle w:val="51"/>
        <w:keepNext w:val="0"/>
        <w:keepLines w:val="0"/>
        <w:widowControl w:val="0"/>
        <w:kinsoku/>
        <w:overflowPunct/>
        <w:autoSpaceDE/>
        <w:autoSpaceDN/>
        <w:bidi w:val="0"/>
        <w:spacing w:line="520" w:lineRule="exact"/>
        <w:textAlignment w:val="auto"/>
        <w:rPr>
          <w:rFonts w:hint="eastAsia"/>
        </w:rPr>
      </w:pPr>
      <w:r>
        <w:rPr>
          <w:rFonts w:hint="eastAsia"/>
        </w:rPr>
        <w:t>法定代表人</w:t>
      </w:r>
      <w:r>
        <w:rPr>
          <w:rFonts w:hint="eastAsia"/>
          <w:lang w:val="en-US" w:eastAsia="zh-CN"/>
        </w:rPr>
        <w:t>/单位负责人</w:t>
      </w:r>
      <w:r>
        <w:rPr>
          <w:rFonts w:hint="eastAsia"/>
        </w:rPr>
        <w:t>：</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lang w:val="en-US" w:eastAsia="zh-CN"/>
        </w:rPr>
        <w:t>(</w:t>
      </w:r>
      <w:r>
        <w:rPr>
          <w:rFonts w:hint="eastAsia"/>
        </w:rPr>
        <w:t>签字</w:t>
      </w:r>
      <w:r>
        <w:rPr>
          <w:rFonts w:hint="eastAsia"/>
          <w:lang w:eastAsia="zh-CN"/>
        </w:rPr>
        <w:t>或盖章</w:t>
      </w:r>
      <w:r>
        <w:rPr>
          <w:rFonts w:hint="eastAsia"/>
          <w:lang w:val="en-US" w:eastAsia="zh-CN"/>
        </w:rPr>
        <w:t>)</w:t>
      </w:r>
    </w:p>
    <w:p w14:paraId="6B3D8BEC">
      <w:pPr>
        <w:pStyle w:val="51"/>
        <w:keepNext w:val="0"/>
        <w:keepLines w:val="0"/>
        <w:widowControl w:val="0"/>
        <w:kinsoku/>
        <w:overflowPunct/>
        <w:autoSpaceDE/>
        <w:autoSpaceDN/>
        <w:bidi w:val="0"/>
        <w:spacing w:line="520" w:lineRule="exact"/>
        <w:textAlignment w:val="auto"/>
        <w:rPr>
          <w:rFonts w:hint="eastAsia"/>
        </w:rPr>
      </w:pPr>
      <w:r>
        <w:rPr>
          <w:rFonts w:hint="eastAsia"/>
        </w:rPr>
        <w:t>授权代表：</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lang w:val="en-US" w:eastAsia="zh-CN"/>
        </w:rPr>
        <w:t>(</w:t>
      </w:r>
      <w:r>
        <w:rPr>
          <w:rFonts w:hint="eastAsia"/>
        </w:rPr>
        <w:t>签字</w:t>
      </w:r>
      <w:r>
        <w:rPr>
          <w:rFonts w:hint="eastAsia"/>
          <w:lang w:eastAsia="zh-CN"/>
        </w:rPr>
        <w:t>或盖章</w:t>
      </w:r>
      <w:r>
        <w:rPr>
          <w:rFonts w:hint="eastAsia"/>
          <w:lang w:val="en-US" w:eastAsia="zh-CN"/>
        </w:rPr>
        <w:t>)</w:t>
      </w:r>
    </w:p>
    <w:p w14:paraId="0C348FDE">
      <w:pPr>
        <w:pStyle w:val="51"/>
        <w:keepNext w:val="0"/>
        <w:keepLines w:val="0"/>
        <w:widowControl w:val="0"/>
        <w:kinsoku/>
        <w:overflowPunct/>
        <w:autoSpaceDE/>
        <w:autoSpaceDN/>
        <w:bidi w:val="0"/>
        <w:spacing w:line="520" w:lineRule="exact"/>
        <w:textAlignment w:val="auto"/>
        <w:rPr>
          <w:rFonts w:hint="eastAsia"/>
        </w:rPr>
      </w:pPr>
      <w:r>
        <w:rPr>
          <w:rFonts w:hint="eastAsia"/>
          <w:lang w:val="en-US" w:eastAsia="zh-CN"/>
        </w:rPr>
        <w:t>供应商</w:t>
      </w:r>
      <w:r>
        <w:rPr>
          <w:rFonts w:hint="eastAsia"/>
        </w:rPr>
        <w:t>名称：</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rPr>
        <w:t>(盖章)</w:t>
      </w:r>
    </w:p>
    <w:p w14:paraId="37ED54CA">
      <w:pPr>
        <w:pStyle w:val="51"/>
        <w:keepNext w:val="0"/>
        <w:keepLines w:val="0"/>
        <w:widowControl w:val="0"/>
        <w:kinsoku/>
        <w:overflowPunct/>
        <w:autoSpaceDE/>
        <w:autoSpaceDN/>
        <w:bidi w:val="0"/>
        <w:spacing w:line="520" w:lineRule="exact"/>
        <w:textAlignment w:val="auto"/>
        <w:rPr>
          <w:rFonts w:hint="eastAsia"/>
        </w:rPr>
      </w:pPr>
      <w:r>
        <w:rPr>
          <w:rFonts w:hint="eastAsia"/>
          <w:lang w:val="en-US" w:eastAsia="zh-CN"/>
        </w:rPr>
        <w:t>磋商</w:t>
      </w:r>
      <w:r>
        <w:rPr>
          <w:rFonts w:hint="eastAsia"/>
        </w:rPr>
        <w:t>日期：</w:t>
      </w:r>
      <w:r>
        <w:rPr>
          <w:rFonts w:hint="eastAsia" w:asciiTheme="minorEastAsia" w:hAnsiTheme="minorEastAsia" w:eastAsiaTheme="minorEastAsia" w:cstheme="minorEastAsia"/>
          <w:color w:val="auto"/>
          <w:sz w:val="24"/>
          <w:szCs w:val="24"/>
          <w:highlight w:val="none"/>
          <w:u w:val="single" w:color="auto"/>
          <w:lang w:val="en-US" w:eastAsia="zh-CN"/>
        </w:rPr>
        <w:t xml:space="preserve">             </w:t>
      </w:r>
      <w:r>
        <w:rPr>
          <w:rFonts w:hint="eastAsia"/>
          <w:lang w:val="en-US" w:eastAsia="zh-CN"/>
        </w:rPr>
        <w:t xml:space="preserve">     </w:t>
      </w:r>
    </w:p>
    <w:p w14:paraId="6D650D03">
      <w:pPr>
        <w:pStyle w:val="48"/>
        <w:keepNext w:val="0"/>
        <w:keepLines w:val="0"/>
        <w:widowControl w:val="0"/>
        <w:kinsoku/>
        <w:overflowPunct/>
        <w:autoSpaceDE/>
        <w:autoSpaceDN/>
        <w:bidi w:val="0"/>
        <w:spacing w:line="520" w:lineRule="exact"/>
        <w:textAlignment w:val="auto"/>
        <w:rPr>
          <w:rFonts w:hint="eastAsia"/>
        </w:rPr>
      </w:pPr>
    </w:p>
    <w:p w14:paraId="46A4E03D">
      <w:pPr>
        <w:pStyle w:val="53"/>
        <w:keepNext w:val="0"/>
        <w:keepLines w:val="0"/>
        <w:widowControl w:val="0"/>
        <w:kinsoku/>
        <w:overflowPunct/>
        <w:autoSpaceDE/>
        <w:autoSpaceDN/>
        <w:bidi w:val="0"/>
        <w:spacing w:line="520" w:lineRule="exact"/>
        <w:textAlignment w:val="auto"/>
        <w:rPr>
          <w:rFonts w:hint="eastAsia"/>
        </w:rPr>
      </w:pPr>
      <w:r>
        <w:rPr>
          <w:rFonts w:hint="eastAsia"/>
        </w:rPr>
        <w:t>注：</w:t>
      </w:r>
      <w:r>
        <w:rPr>
          <w:rFonts w:hint="eastAsia"/>
          <w:lang w:val="en-US" w:eastAsia="zh-CN"/>
        </w:rPr>
        <w:t>1.法定代表人/单位负责人</w:t>
      </w:r>
      <w:r>
        <w:rPr>
          <w:rFonts w:hint="eastAsia"/>
        </w:rPr>
        <w:t>不亲自参加</w:t>
      </w:r>
      <w:r>
        <w:rPr>
          <w:rFonts w:hint="eastAsia"/>
          <w:lang w:val="en-US" w:eastAsia="zh-CN"/>
        </w:rPr>
        <w:t>磋商</w:t>
      </w:r>
      <w:r>
        <w:rPr>
          <w:rFonts w:hint="eastAsia"/>
        </w:rPr>
        <w:t>，而授权代表参加</w:t>
      </w:r>
      <w:r>
        <w:rPr>
          <w:rFonts w:hint="eastAsia"/>
          <w:lang w:val="en-US" w:eastAsia="zh-CN"/>
        </w:rPr>
        <w:t>磋商</w:t>
      </w:r>
      <w:r>
        <w:rPr>
          <w:rFonts w:hint="eastAsia"/>
        </w:rPr>
        <w:t>的适用。</w:t>
      </w:r>
    </w:p>
    <w:p w14:paraId="5FC648DD">
      <w:pPr>
        <w:pStyle w:val="53"/>
        <w:keepNext w:val="0"/>
        <w:keepLines w:val="0"/>
        <w:widowControl w:val="0"/>
        <w:kinsoku/>
        <w:overflowPunct/>
        <w:autoSpaceDE/>
        <w:autoSpaceDN/>
        <w:bidi w:val="0"/>
        <w:spacing w:line="520" w:lineRule="exact"/>
        <w:textAlignment w:val="auto"/>
      </w:pPr>
      <w:r>
        <w:rPr>
          <w:rFonts w:hint="eastAsia"/>
          <w:lang w:val="en-US" w:eastAsia="zh-CN"/>
        </w:rPr>
        <w:t>2.</w:t>
      </w:r>
      <w:r>
        <w:t>供应商为法人单位时提供“法定代表人授权书”，供应商为其他组织时提供“单位负责人授权书”，供应商为自然人时提供“自然人身份证明材料”。</w:t>
      </w:r>
    </w:p>
    <w:p w14:paraId="13BCD76C">
      <w:pPr>
        <w:pStyle w:val="53"/>
        <w:keepNext w:val="0"/>
        <w:keepLines w:val="0"/>
        <w:widowControl w:val="0"/>
        <w:kinsoku/>
        <w:overflowPunct/>
        <w:autoSpaceDE/>
        <w:autoSpaceDN/>
        <w:bidi w:val="0"/>
        <w:spacing w:line="520" w:lineRule="exact"/>
        <w:textAlignment w:val="auto"/>
      </w:pPr>
      <w:r>
        <w:rPr>
          <w:rFonts w:hint="eastAsia"/>
          <w:lang w:val="en-US" w:eastAsia="zh-CN"/>
        </w:rPr>
        <w:t>3.</w:t>
      </w:r>
      <w:r>
        <w:t>应附法定代表人/单位负责人身份证明材料复印件和授权代表身份证明材料复印件。</w:t>
      </w:r>
    </w:p>
    <w:p w14:paraId="344860F8">
      <w:pPr>
        <w:pStyle w:val="53"/>
        <w:keepNext w:val="0"/>
        <w:keepLines w:val="0"/>
        <w:widowControl w:val="0"/>
        <w:kinsoku/>
        <w:overflowPunct/>
        <w:autoSpaceDE/>
        <w:autoSpaceDN/>
        <w:bidi w:val="0"/>
        <w:spacing w:line="520" w:lineRule="exact"/>
        <w:textAlignment w:val="auto"/>
      </w:pPr>
      <w:r>
        <w:rPr>
          <w:rFonts w:hint="eastAsia"/>
          <w:lang w:val="en-US" w:eastAsia="zh-CN"/>
        </w:rPr>
        <w:t>4.</w:t>
      </w:r>
      <w:r>
        <w:t>身份证明材料包括居民身份证或户口本或军官证或护照等。</w:t>
      </w:r>
    </w:p>
    <w:p w14:paraId="5BC73FC1">
      <w:pPr>
        <w:pStyle w:val="53"/>
        <w:keepNext w:val="0"/>
        <w:keepLines w:val="0"/>
        <w:widowControl w:val="0"/>
        <w:kinsoku/>
        <w:overflowPunct/>
        <w:autoSpaceDE/>
        <w:autoSpaceDN/>
        <w:bidi w:val="0"/>
        <w:spacing w:line="520" w:lineRule="exact"/>
        <w:textAlignment w:val="auto"/>
        <w:rPr>
          <w:rFonts w:hint="eastAsia"/>
        </w:rPr>
      </w:pPr>
      <w:r>
        <w:rPr>
          <w:rFonts w:hint="eastAsia"/>
          <w:lang w:val="en-US" w:eastAsia="zh-CN"/>
        </w:rPr>
        <w:t>5.</w:t>
      </w:r>
      <w:r>
        <w:t>身份证明材料应同时提供其在有效期的材料，如居民身份证正、反面复印件</w:t>
      </w:r>
      <w:r>
        <w:rPr>
          <w:rFonts w:hint="eastAsia"/>
          <w:lang w:eastAsia="zh-CN"/>
        </w:rPr>
        <w:t>。</w:t>
      </w:r>
      <w:r>
        <w:rPr>
          <w:rFonts w:hint="eastAsia"/>
        </w:rPr>
        <w:br w:type="page"/>
      </w:r>
    </w:p>
    <w:p w14:paraId="36D265A3">
      <w:pPr>
        <w:pStyle w:val="49"/>
        <w:keepNext w:val="0"/>
        <w:keepLines w:val="0"/>
        <w:widowControl w:val="0"/>
        <w:numPr>
          <w:ilvl w:val="0"/>
          <w:numId w:val="13"/>
        </w:numPr>
        <w:kinsoku/>
        <w:overflowPunct/>
        <w:autoSpaceDE/>
        <w:autoSpaceDN/>
        <w:bidi w:val="0"/>
        <w:spacing w:line="520" w:lineRule="exact"/>
        <w:ind w:left="0" w:leftChars="0" w:firstLine="0" w:firstLineChars="0"/>
        <w:textAlignment w:val="auto"/>
        <w:rPr>
          <w:rFonts w:hint="eastAsia"/>
          <w:lang w:val="en-US" w:eastAsia="zh-CN"/>
        </w:rPr>
      </w:pPr>
      <w:bookmarkStart w:id="292" w:name="_Toc9688"/>
      <w:bookmarkStart w:id="293" w:name="_Toc22140"/>
      <w:bookmarkStart w:id="294" w:name="_Toc7866"/>
      <w:bookmarkStart w:id="295" w:name="_Toc5501"/>
      <w:bookmarkStart w:id="296" w:name="_Toc22355"/>
      <w:bookmarkStart w:id="297" w:name="_Toc25146"/>
      <w:bookmarkStart w:id="298" w:name="_Toc9243"/>
      <w:r>
        <w:rPr>
          <w:rFonts w:hint="eastAsia"/>
          <w:lang w:val="en-US" w:eastAsia="zh-CN"/>
        </w:rPr>
        <w:t>法定代表人/单位负责人证明书</w:t>
      </w:r>
      <w:bookmarkEnd w:id="292"/>
      <w:bookmarkEnd w:id="293"/>
      <w:bookmarkEnd w:id="294"/>
      <w:bookmarkEnd w:id="295"/>
      <w:bookmarkEnd w:id="296"/>
      <w:bookmarkEnd w:id="297"/>
      <w:bookmarkEnd w:id="298"/>
    </w:p>
    <w:p w14:paraId="5CA3F69F">
      <w:pPr>
        <w:pStyle w:val="51"/>
        <w:keepNext w:val="0"/>
        <w:keepLines w:val="0"/>
        <w:widowControl w:val="0"/>
        <w:kinsoku/>
        <w:overflowPunct/>
        <w:autoSpaceDE/>
        <w:autoSpaceDN/>
        <w:bidi w:val="0"/>
        <w:spacing w:line="520" w:lineRule="exact"/>
        <w:textAlignment w:val="auto"/>
        <w:rPr>
          <w:rFonts w:hint="eastAsia"/>
        </w:rPr>
      </w:pPr>
      <w:r>
        <w:rPr>
          <w:rFonts w:hint="eastAsia"/>
        </w:rPr>
        <w:t>单位名称：</w:t>
      </w:r>
      <w:r>
        <w:rPr>
          <w:rFonts w:hint="eastAsia" w:asciiTheme="minorEastAsia" w:hAnsiTheme="minorEastAsia" w:eastAsiaTheme="minorEastAsia" w:cstheme="minorEastAsia"/>
          <w:color w:val="auto"/>
          <w:sz w:val="24"/>
          <w:szCs w:val="24"/>
          <w:highlight w:val="none"/>
          <w:u w:val="single"/>
        </w:rPr>
        <w:t xml:space="preserve">                            </w:t>
      </w:r>
      <w:r>
        <w:rPr>
          <w:rFonts w:hint="eastAsia"/>
        </w:rPr>
        <w:t xml:space="preserve">                            </w:t>
      </w:r>
    </w:p>
    <w:p w14:paraId="385FA8A7">
      <w:pPr>
        <w:pStyle w:val="51"/>
        <w:keepNext w:val="0"/>
        <w:keepLines w:val="0"/>
        <w:widowControl w:val="0"/>
        <w:kinsoku/>
        <w:overflowPunct/>
        <w:autoSpaceDE/>
        <w:autoSpaceDN/>
        <w:bidi w:val="0"/>
        <w:spacing w:line="520" w:lineRule="exact"/>
        <w:textAlignment w:val="auto"/>
        <w:rPr>
          <w:rFonts w:hint="eastAsia"/>
        </w:rPr>
      </w:pPr>
      <w:r>
        <w:rPr>
          <w:rFonts w:hint="eastAsia"/>
        </w:rPr>
        <w:t>地    址：</w:t>
      </w:r>
      <w:r>
        <w:rPr>
          <w:rFonts w:hint="eastAsia" w:asciiTheme="minorEastAsia" w:hAnsiTheme="minorEastAsia" w:eastAsiaTheme="minorEastAsia" w:cstheme="minorEastAsia"/>
          <w:color w:val="auto"/>
          <w:sz w:val="24"/>
          <w:szCs w:val="24"/>
          <w:highlight w:val="none"/>
          <w:u w:val="single"/>
        </w:rPr>
        <w:t xml:space="preserve">                            </w:t>
      </w:r>
      <w:r>
        <w:rPr>
          <w:rFonts w:hint="eastAsia"/>
        </w:rPr>
        <w:t xml:space="preserve">                            </w:t>
      </w:r>
    </w:p>
    <w:p w14:paraId="0E63C20F">
      <w:pPr>
        <w:pStyle w:val="51"/>
        <w:keepNext w:val="0"/>
        <w:keepLines w:val="0"/>
        <w:widowControl w:val="0"/>
        <w:kinsoku/>
        <w:overflowPunct/>
        <w:autoSpaceDE/>
        <w:autoSpaceDN/>
        <w:bidi w:val="0"/>
        <w:spacing w:line="520" w:lineRule="exact"/>
        <w:textAlignment w:val="auto"/>
        <w:rPr>
          <w:rFonts w:hint="eastAsia"/>
        </w:rPr>
      </w:pPr>
      <w:r>
        <w:rPr>
          <w:rFonts w:hint="eastAsia"/>
        </w:rPr>
        <w:t>姓    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r>
        <w:rPr>
          <w:rFonts w:hint="eastAsia"/>
        </w:rPr>
        <w:t xml:space="preserve">            </w:t>
      </w:r>
    </w:p>
    <w:p w14:paraId="2A75B1DE">
      <w:pPr>
        <w:pStyle w:val="51"/>
        <w:keepNext w:val="0"/>
        <w:keepLines w:val="0"/>
        <w:widowControl w:val="0"/>
        <w:kinsoku/>
        <w:overflowPunct/>
        <w:autoSpaceDE/>
        <w:autoSpaceDN/>
        <w:bidi w:val="0"/>
        <w:spacing w:line="520" w:lineRule="exact"/>
        <w:textAlignment w:val="auto"/>
        <w:rPr>
          <w:rFonts w:hint="eastAsia"/>
        </w:rPr>
      </w:pPr>
      <w:r>
        <w:rPr>
          <w:rFonts w:hint="eastAsia"/>
        </w:rPr>
        <w:t>本人系</w:t>
      </w:r>
      <w:r>
        <w:rPr>
          <w:rFonts w:hint="eastAsia"/>
          <w:u w:val="single"/>
        </w:rPr>
        <w:t xml:space="preserve">                           </w:t>
      </w:r>
      <w:r>
        <w:rPr>
          <w:rFonts w:hint="eastAsia"/>
        </w:rPr>
        <w:t>(</w:t>
      </w:r>
      <w:r>
        <w:rPr>
          <w:rFonts w:hint="eastAsia"/>
          <w:lang w:val="en-US" w:eastAsia="zh-CN"/>
        </w:rPr>
        <w:t>供应商</w:t>
      </w:r>
      <w:r>
        <w:rPr>
          <w:rFonts w:hint="eastAsia"/>
        </w:rPr>
        <w:t>名称)的法定代表人</w:t>
      </w:r>
      <w:r>
        <w:rPr>
          <w:rFonts w:hint="eastAsia"/>
          <w:lang w:val="en-US" w:eastAsia="zh-CN"/>
        </w:rPr>
        <w:t>/单位负责人</w:t>
      </w:r>
      <w:r>
        <w:rPr>
          <w:rFonts w:hint="eastAsia"/>
        </w:rPr>
        <w:t>。就参加你单位组织的“</w:t>
      </w:r>
      <w:r>
        <w:rPr>
          <w:rFonts w:hint="eastAsia"/>
          <w:u w:val="single"/>
        </w:rPr>
        <w:t xml:space="preserve">             </w:t>
      </w:r>
      <w:r>
        <w:rPr>
          <w:rFonts w:hint="eastAsia"/>
          <w:lang w:eastAsia="zh-CN"/>
        </w:rPr>
        <w:t>(</w:t>
      </w:r>
      <w:r>
        <w:rPr>
          <w:rFonts w:hint="eastAsia"/>
          <w:lang w:val="en-US" w:eastAsia="zh-CN"/>
        </w:rPr>
        <w:t>项目名称</w:t>
      </w:r>
      <w:r>
        <w:rPr>
          <w:rFonts w:hint="eastAsia"/>
          <w:lang w:eastAsia="zh-CN"/>
        </w:rPr>
        <w:t>)</w:t>
      </w:r>
      <w:r>
        <w:rPr>
          <w:rFonts w:hint="eastAsia"/>
        </w:rPr>
        <w:t>(项目编号</w:t>
      </w:r>
      <w:r>
        <w:rPr>
          <w:rFonts w:hint="eastAsia"/>
          <w:lang w:eastAsia="zh-CN"/>
        </w:rPr>
        <w:t>：</w:t>
      </w:r>
      <w:r>
        <w:rPr>
          <w:rFonts w:hint="eastAsia"/>
          <w:u w:val="single"/>
        </w:rPr>
        <w:t xml:space="preserve">         </w:t>
      </w:r>
      <w:r>
        <w:rPr>
          <w:rFonts w:hint="eastAsia"/>
        </w:rPr>
        <w:t>)”的</w:t>
      </w:r>
      <w:r>
        <w:rPr>
          <w:rFonts w:hint="eastAsia"/>
          <w:lang w:val="en-US" w:eastAsia="zh-CN"/>
        </w:rPr>
        <w:t>采购</w:t>
      </w:r>
      <w:r>
        <w:rPr>
          <w:rFonts w:hint="eastAsia"/>
        </w:rPr>
        <w:t>活动</w:t>
      </w:r>
      <w:r>
        <w:rPr>
          <w:rFonts w:hint="eastAsia"/>
          <w:lang w:eastAsia="zh-CN"/>
        </w:rPr>
        <w:t>、</w:t>
      </w:r>
      <w:r>
        <w:rPr>
          <w:rFonts w:hint="eastAsia"/>
        </w:rPr>
        <w:t>合同签订以及</w:t>
      </w:r>
      <w:r>
        <w:rPr>
          <w:rFonts w:hint="eastAsia"/>
          <w:lang w:val="en-US" w:eastAsia="zh-CN"/>
        </w:rPr>
        <w:t>合同履约</w:t>
      </w:r>
      <w:r>
        <w:rPr>
          <w:rFonts w:hint="eastAsia"/>
        </w:rPr>
        <w:t>等一切事宜，我</w:t>
      </w:r>
      <w:r>
        <w:rPr>
          <w:rFonts w:hint="eastAsia"/>
          <w:lang w:val="en-US" w:eastAsia="zh-CN"/>
        </w:rPr>
        <w:t>单位</w:t>
      </w:r>
      <w:r>
        <w:rPr>
          <w:rFonts w:hint="eastAsia"/>
        </w:rPr>
        <w:t>均予承认，所产生的法律后果均由我单位承担。</w:t>
      </w:r>
    </w:p>
    <w:p w14:paraId="1D87CCEA">
      <w:pPr>
        <w:pStyle w:val="51"/>
        <w:keepNext w:val="0"/>
        <w:keepLines w:val="0"/>
        <w:widowControl w:val="0"/>
        <w:kinsoku/>
        <w:overflowPunct/>
        <w:autoSpaceDE/>
        <w:autoSpaceDN/>
        <w:bidi w:val="0"/>
        <w:spacing w:line="520" w:lineRule="exact"/>
        <w:textAlignment w:val="auto"/>
        <w:rPr>
          <w:rFonts w:hint="eastAsia"/>
        </w:rPr>
      </w:pPr>
      <w:r>
        <w:rPr>
          <w:rFonts w:hint="eastAsia"/>
        </w:rPr>
        <w:t>特此证明。</w:t>
      </w:r>
    </w:p>
    <w:p w14:paraId="7C5C7A89">
      <w:pPr>
        <w:pStyle w:val="48"/>
        <w:keepNext w:val="0"/>
        <w:keepLines w:val="0"/>
        <w:widowControl w:val="0"/>
        <w:kinsoku/>
        <w:overflowPunct/>
        <w:autoSpaceDE/>
        <w:autoSpaceDN/>
        <w:bidi w:val="0"/>
        <w:spacing w:line="520" w:lineRule="exact"/>
        <w:textAlignment w:val="auto"/>
        <w:rPr>
          <w:rFonts w:hint="eastAsia"/>
        </w:rPr>
      </w:pPr>
    </w:p>
    <w:p w14:paraId="3114509C">
      <w:pPr>
        <w:pStyle w:val="48"/>
        <w:keepNext w:val="0"/>
        <w:keepLines w:val="0"/>
        <w:widowControl w:val="0"/>
        <w:kinsoku/>
        <w:overflowPunct/>
        <w:autoSpaceDE/>
        <w:autoSpaceDN/>
        <w:bidi w:val="0"/>
        <w:spacing w:line="520" w:lineRule="exact"/>
        <w:textAlignment w:val="auto"/>
        <w:rPr>
          <w:rFonts w:hint="eastAsia"/>
        </w:rPr>
      </w:pPr>
    </w:p>
    <w:p w14:paraId="26DCBF6C">
      <w:pPr>
        <w:pStyle w:val="48"/>
        <w:keepNext w:val="0"/>
        <w:keepLines w:val="0"/>
        <w:widowControl w:val="0"/>
        <w:kinsoku/>
        <w:overflowPunct/>
        <w:autoSpaceDE/>
        <w:autoSpaceDN/>
        <w:bidi w:val="0"/>
        <w:spacing w:line="520" w:lineRule="exact"/>
        <w:textAlignment w:val="auto"/>
        <w:rPr>
          <w:rFonts w:hint="eastAsia"/>
        </w:rPr>
      </w:pPr>
    </w:p>
    <w:p w14:paraId="27A86680">
      <w:pPr>
        <w:pStyle w:val="48"/>
        <w:keepNext w:val="0"/>
        <w:keepLines w:val="0"/>
        <w:widowControl w:val="0"/>
        <w:kinsoku/>
        <w:overflowPunct/>
        <w:autoSpaceDE/>
        <w:autoSpaceDN/>
        <w:bidi w:val="0"/>
        <w:spacing w:line="520" w:lineRule="exact"/>
        <w:textAlignment w:val="auto"/>
        <w:rPr>
          <w:rFonts w:hint="eastAsia"/>
        </w:rPr>
      </w:pPr>
    </w:p>
    <w:p w14:paraId="2C2DAC23">
      <w:pPr>
        <w:pStyle w:val="48"/>
        <w:keepNext w:val="0"/>
        <w:keepLines w:val="0"/>
        <w:widowControl w:val="0"/>
        <w:kinsoku/>
        <w:overflowPunct/>
        <w:autoSpaceDE/>
        <w:autoSpaceDN/>
        <w:bidi w:val="0"/>
        <w:spacing w:line="520" w:lineRule="exact"/>
        <w:textAlignment w:val="auto"/>
        <w:rPr>
          <w:rFonts w:hint="eastAsia"/>
        </w:rPr>
      </w:pPr>
    </w:p>
    <w:p w14:paraId="56724FD9">
      <w:pPr>
        <w:pStyle w:val="51"/>
        <w:keepNext w:val="0"/>
        <w:keepLines w:val="0"/>
        <w:widowControl w:val="0"/>
        <w:kinsoku/>
        <w:overflowPunct/>
        <w:autoSpaceDE/>
        <w:autoSpaceDN/>
        <w:bidi w:val="0"/>
        <w:spacing w:line="520" w:lineRule="exact"/>
        <w:textAlignment w:val="auto"/>
        <w:rPr>
          <w:rFonts w:hint="eastAsia"/>
        </w:rPr>
      </w:pPr>
      <w:r>
        <w:rPr>
          <w:rFonts w:hint="eastAsia"/>
          <w:lang w:val="en-US" w:eastAsia="zh-CN"/>
        </w:rPr>
        <w:t>供应商</w:t>
      </w:r>
      <w:r>
        <w:rPr>
          <w:rFonts w:hint="eastAsia"/>
        </w:rPr>
        <w:t>名称：</w:t>
      </w:r>
      <w:r>
        <w:rPr>
          <w:rFonts w:hint="eastAsia"/>
          <w:u w:val="single"/>
          <w:lang w:val="en-US" w:eastAsia="zh-CN"/>
        </w:rPr>
        <w:t xml:space="preserve">            </w:t>
      </w:r>
      <w:r>
        <w:rPr>
          <w:rFonts w:hint="eastAsia"/>
          <w:u w:val="single"/>
        </w:rPr>
        <w:t xml:space="preserve"> </w:t>
      </w:r>
      <w:r>
        <w:rPr>
          <w:rFonts w:hint="eastAsia"/>
        </w:rPr>
        <w:t xml:space="preserve">(盖章) </w:t>
      </w:r>
    </w:p>
    <w:p w14:paraId="072D698B">
      <w:pPr>
        <w:pStyle w:val="51"/>
        <w:keepNext w:val="0"/>
        <w:keepLines w:val="0"/>
        <w:widowControl w:val="0"/>
        <w:kinsoku/>
        <w:overflowPunct/>
        <w:autoSpaceDE/>
        <w:autoSpaceDN/>
        <w:bidi w:val="0"/>
        <w:spacing w:line="520" w:lineRule="exact"/>
        <w:textAlignment w:val="auto"/>
        <w:rPr>
          <w:rFonts w:hint="eastAsia"/>
        </w:rPr>
      </w:pPr>
      <w:r>
        <w:rPr>
          <w:rFonts w:hint="eastAsia"/>
        </w:rPr>
        <w:t>法定代表人</w:t>
      </w:r>
      <w:r>
        <w:rPr>
          <w:rFonts w:hint="eastAsia"/>
          <w:lang w:val="en-US" w:eastAsia="zh-CN"/>
        </w:rPr>
        <w:t>/单位负责人</w:t>
      </w:r>
      <w:r>
        <w:rPr>
          <w:rFonts w:hint="eastAsia"/>
        </w:rPr>
        <w:t>：</w:t>
      </w:r>
      <w:r>
        <w:rPr>
          <w:rFonts w:hint="eastAsia"/>
          <w:u w:val="single"/>
          <w:lang w:val="en-US" w:eastAsia="zh-CN"/>
        </w:rPr>
        <w:t xml:space="preserve">               </w:t>
      </w:r>
      <w:r>
        <w:rPr>
          <w:rFonts w:hint="eastAsia"/>
        </w:rPr>
        <w:t>(签字或盖章)</w:t>
      </w:r>
    </w:p>
    <w:p w14:paraId="66844AF4">
      <w:pPr>
        <w:pStyle w:val="51"/>
        <w:keepNext w:val="0"/>
        <w:keepLines w:val="0"/>
        <w:widowControl w:val="0"/>
        <w:kinsoku/>
        <w:overflowPunct/>
        <w:autoSpaceDE/>
        <w:autoSpaceDN/>
        <w:bidi w:val="0"/>
        <w:spacing w:line="520" w:lineRule="exact"/>
        <w:textAlignment w:val="auto"/>
        <w:rPr>
          <w:rFonts w:hint="eastAsia"/>
          <w:u w:val="single"/>
        </w:rPr>
      </w:pPr>
      <w:r>
        <w:rPr>
          <w:rFonts w:hint="eastAsia"/>
          <w:lang w:val="en-US" w:eastAsia="zh-CN"/>
        </w:rPr>
        <w:t>磋商</w:t>
      </w:r>
      <w:r>
        <w:rPr>
          <w:rFonts w:hint="eastAsia"/>
        </w:rPr>
        <w:t>日期：</w:t>
      </w:r>
      <w:r>
        <w:rPr>
          <w:rFonts w:hint="eastAsia"/>
          <w:u w:val="single"/>
          <w:lang w:val="en-US" w:eastAsia="zh-CN"/>
        </w:rPr>
        <w:t xml:space="preserve">            </w:t>
      </w:r>
      <w:r>
        <w:rPr>
          <w:rFonts w:hint="eastAsia"/>
          <w:u w:val="single"/>
        </w:rPr>
        <w:t xml:space="preserve"> </w:t>
      </w:r>
    </w:p>
    <w:p w14:paraId="194AD7C6">
      <w:pPr>
        <w:pStyle w:val="51"/>
        <w:keepNext w:val="0"/>
        <w:keepLines w:val="0"/>
        <w:widowControl w:val="0"/>
        <w:kinsoku/>
        <w:overflowPunct/>
        <w:autoSpaceDE/>
        <w:autoSpaceDN/>
        <w:bidi w:val="0"/>
        <w:spacing w:line="520" w:lineRule="exact"/>
        <w:textAlignment w:val="auto"/>
        <w:rPr>
          <w:rFonts w:hint="eastAsia"/>
        </w:rPr>
      </w:pPr>
    </w:p>
    <w:p w14:paraId="0E981281">
      <w:pPr>
        <w:pStyle w:val="53"/>
        <w:keepNext w:val="0"/>
        <w:keepLines w:val="0"/>
        <w:widowControl w:val="0"/>
        <w:kinsoku/>
        <w:overflowPunct/>
        <w:autoSpaceDE/>
        <w:autoSpaceDN/>
        <w:bidi w:val="0"/>
        <w:spacing w:line="520" w:lineRule="exact"/>
        <w:textAlignment w:val="auto"/>
        <w:rPr>
          <w:rFonts w:hint="eastAsia"/>
        </w:rPr>
      </w:pPr>
      <w:r>
        <w:rPr>
          <w:rFonts w:hint="eastAsia"/>
        </w:rPr>
        <w:t>注：</w:t>
      </w:r>
      <w:r>
        <w:rPr>
          <w:rFonts w:hint="eastAsia"/>
          <w:lang w:val="en-US" w:eastAsia="zh-CN"/>
        </w:rPr>
        <w:t>1.</w:t>
      </w:r>
      <w:r>
        <w:rPr>
          <w:rFonts w:hint="eastAsia"/>
        </w:rPr>
        <w:t>法定代表人</w:t>
      </w:r>
      <w:r>
        <w:t>/单位负责人</w:t>
      </w:r>
      <w:r>
        <w:rPr>
          <w:rFonts w:hint="eastAsia"/>
        </w:rPr>
        <w:t>亲自参加</w:t>
      </w:r>
      <w:r>
        <w:rPr>
          <w:rFonts w:hint="eastAsia"/>
          <w:lang w:val="en-US" w:eastAsia="zh-CN"/>
        </w:rPr>
        <w:t>磋商</w:t>
      </w:r>
      <w:r>
        <w:rPr>
          <w:rFonts w:hint="eastAsia"/>
        </w:rPr>
        <w:t>时适用本证明书。</w:t>
      </w:r>
    </w:p>
    <w:p w14:paraId="53173CCB">
      <w:pPr>
        <w:pStyle w:val="53"/>
        <w:keepNext w:val="0"/>
        <w:keepLines w:val="0"/>
        <w:widowControl w:val="0"/>
        <w:kinsoku/>
        <w:overflowPunct/>
        <w:autoSpaceDE/>
        <w:autoSpaceDN/>
        <w:bidi w:val="0"/>
        <w:spacing w:line="520" w:lineRule="exact"/>
        <w:textAlignment w:val="auto"/>
      </w:pPr>
      <w:r>
        <w:rPr>
          <w:rFonts w:hint="eastAsia"/>
          <w:lang w:val="en-US" w:eastAsia="zh-CN"/>
        </w:rPr>
        <w:t>2.</w:t>
      </w:r>
      <w:r>
        <w:t>应附法定代表人/单位负责人身份证明材料复印件。</w:t>
      </w:r>
    </w:p>
    <w:p w14:paraId="53CB4064">
      <w:pPr>
        <w:pStyle w:val="53"/>
        <w:keepNext w:val="0"/>
        <w:keepLines w:val="0"/>
        <w:widowControl w:val="0"/>
        <w:kinsoku/>
        <w:overflowPunct/>
        <w:autoSpaceDE/>
        <w:autoSpaceDN/>
        <w:bidi w:val="0"/>
        <w:spacing w:line="520" w:lineRule="exact"/>
        <w:textAlignment w:val="auto"/>
      </w:pPr>
      <w:r>
        <w:rPr>
          <w:rFonts w:hint="eastAsia"/>
          <w:lang w:val="en-US" w:eastAsia="zh-CN"/>
        </w:rPr>
        <w:t>3.</w:t>
      </w:r>
      <w:r>
        <w:t>身份证明材料包括居民身份证或户口本或军官证或护照等。</w:t>
      </w:r>
    </w:p>
    <w:p w14:paraId="5C0BF1C6">
      <w:pPr>
        <w:pStyle w:val="53"/>
        <w:keepNext w:val="0"/>
        <w:keepLines w:val="0"/>
        <w:widowControl w:val="0"/>
        <w:kinsoku/>
        <w:overflowPunct/>
        <w:autoSpaceDE/>
        <w:autoSpaceDN/>
        <w:bidi w:val="0"/>
        <w:spacing w:line="520" w:lineRule="exact"/>
        <w:textAlignment w:val="auto"/>
        <w:rPr>
          <w:rFonts w:hint="eastAsia"/>
          <w:lang w:eastAsia="zh-CN"/>
        </w:rPr>
      </w:pPr>
      <w:r>
        <w:rPr>
          <w:rFonts w:hint="eastAsia"/>
          <w:lang w:val="en-US" w:eastAsia="zh-CN"/>
        </w:rPr>
        <w:t>4.</w:t>
      </w:r>
      <w:r>
        <w:t>身份证明材料应同时提供其在有效期的材料，如居民身份证正、反面复印件</w:t>
      </w:r>
      <w:r>
        <w:rPr>
          <w:rFonts w:hint="eastAsia"/>
          <w:lang w:eastAsia="zh-CN"/>
        </w:rPr>
        <w:t>。</w:t>
      </w:r>
    </w:p>
    <w:p w14:paraId="526E6B16">
      <w:pPr>
        <w:pStyle w:val="49"/>
        <w:keepNext w:val="0"/>
        <w:keepLines w:val="0"/>
        <w:widowControl w:val="0"/>
        <w:numPr>
          <w:ilvl w:val="0"/>
          <w:numId w:val="13"/>
        </w:numPr>
        <w:kinsoku/>
        <w:overflowPunct/>
        <w:autoSpaceDE/>
        <w:autoSpaceDN/>
        <w:bidi w:val="0"/>
        <w:spacing w:line="520" w:lineRule="exact"/>
        <w:ind w:left="0" w:leftChars="0" w:firstLine="0" w:firstLineChars="0"/>
        <w:textAlignment w:val="auto"/>
        <w:rPr>
          <w:rFonts w:hint="eastAsia"/>
          <w:lang w:val="en-US" w:eastAsia="zh-CN"/>
        </w:rPr>
      </w:pPr>
      <w:bookmarkStart w:id="299" w:name="_Toc28837"/>
      <w:bookmarkStart w:id="300" w:name="_Toc22152"/>
      <w:bookmarkStart w:id="301" w:name="_Toc27626"/>
      <w:bookmarkStart w:id="302" w:name="_Toc15410"/>
      <w:bookmarkStart w:id="303" w:name="_Toc13168"/>
      <w:bookmarkStart w:id="304" w:name="_Toc28397"/>
      <w:bookmarkStart w:id="305" w:name="_Toc3822"/>
      <w:r>
        <w:rPr>
          <w:rFonts w:hint="eastAsia"/>
          <w:lang w:val="en-US" w:eastAsia="zh-CN"/>
        </w:rPr>
        <w:t>供应商具有独立承担民事责任的能力的证明材料</w:t>
      </w:r>
      <w:bookmarkEnd w:id="299"/>
      <w:bookmarkEnd w:id="300"/>
      <w:bookmarkEnd w:id="301"/>
      <w:bookmarkEnd w:id="302"/>
      <w:bookmarkEnd w:id="303"/>
    </w:p>
    <w:bookmarkEnd w:id="304"/>
    <w:p w14:paraId="5E118C8D">
      <w:pPr>
        <w:pStyle w:val="51"/>
        <w:keepNext w:val="0"/>
        <w:keepLines w:val="0"/>
        <w:widowControl w:val="0"/>
        <w:kinsoku/>
        <w:overflowPunct/>
        <w:autoSpaceDE/>
        <w:autoSpaceDN/>
        <w:bidi w:val="0"/>
        <w:spacing w:line="520" w:lineRule="exact"/>
        <w:textAlignment w:val="auto"/>
        <w:rPr>
          <w:rFonts w:hint="eastAsia"/>
          <w:lang w:val="en-US" w:eastAsia="zh-CN"/>
        </w:rPr>
      </w:pPr>
      <w:r>
        <w:rPr>
          <w:rFonts w:hint="eastAsia"/>
          <w:lang w:val="en-US" w:eastAsia="zh-CN"/>
        </w:rPr>
        <w:t>供应商：</w:t>
      </w:r>
      <w:r>
        <w:rPr>
          <w:rFonts w:hint="eastAsia"/>
          <w:lang w:eastAsia="zh-CN"/>
        </w:rPr>
        <w:t>提供“营业执照”</w:t>
      </w:r>
      <w:r>
        <w:rPr>
          <w:rFonts w:hint="eastAsia"/>
          <w:lang w:val="en-US" w:eastAsia="zh-CN"/>
        </w:rPr>
        <w:t>副本复印件</w:t>
      </w:r>
      <w:r>
        <w:rPr>
          <w:rFonts w:hint="eastAsia"/>
          <w:lang w:eastAsia="zh-CN"/>
        </w:rPr>
        <w:t>。</w:t>
      </w:r>
    </w:p>
    <w:p w14:paraId="3062D479">
      <w:pPr>
        <w:pStyle w:val="53"/>
        <w:keepNext w:val="0"/>
        <w:keepLines w:val="0"/>
        <w:widowControl w:val="0"/>
        <w:kinsoku/>
        <w:overflowPunct/>
        <w:autoSpaceDE/>
        <w:autoSpaceDN/>
        <w:bidi w:val="0"/>
        <w:spacing w:line="520" w:lineRule="exact"/>
        <w:textAlignment w:val="auto"/>
        <w:rPr>
          <w:rFonts w:hint="eastAsia"/>
          <w:lang w:val="en-US" w:eastAsia="zh-CN"/>
        </w:rPr>
      </w:pPr>
      <w:r>
        <w:rPr>
          <w:rFonts w:hint="eastAsia"/>
          <w:lang w:val="en-US" w:eastAsia="zh-CN"/>
        </w:rPr>
        <w:t>注：①发证机关有年检要求的，应按规定通过年检；②在有效期内；③复印件加盖供应商公章</w:t>
      </w:r>
      <w:bookmarkEnd w:id="305"/>
      <w:r>
        <w:rPr>
          <w:rFonts w:hint="eastAsia"/>
          <w:lang w:val="en-US" w:eastAsia="zh-CN"/>
        </w:rPr>
        <w:t>。</w:t>
      </w:r>
    </w:p>
    <w:p w14:paraId="6CF22501">
      <w:pPr>
        <w:pStyle w:val="49"/>
        <w:keepNext w:val="0"/>
        <w:keepLines w:val="0"/>
        <w:widowControl w:val="0"/>
        <w:numPr>
          <w:ilvl w:val="0"/>
          <w:numId w:val="13"/>
        </w:numPr>
        <w:kinsoku/>
        <w:overflowPunct/>
        <w:autoSpaceDE/>
        <w:autoSpaceDN/>
        <w:bidi w:val="0"/>
        <w:spacing w:line="520" w:lineRule="exact"/>
        <w:ind w:left="0" w:leftChars="0" w:firstLine="0" w:firstLineChars="0"/>
        <w:textAlignment w:val="auto"/>
        <w:rPr>
          <w:rFonts w:hint="eastAsia"/>
          <w:lang w:val="en-US" w:eastAsia="zh-CN"/>
        </w:rPr>
      </w:pPr>
      <w:bookmarkStart w:id="306" w:name="_Toc29937"/>
      <w:bookmarkStart w:id="307" w:name="_Toc20143"/>
      <w:bookmarkStart w:id="308" w:name="_Toc21168"/>
      <w:bookmarkStart w:id="309" w:name="_Toc11408"/>
      <w:bookmarkStart w:id="310" w:name="_Toc28024"/>
      <w:bookmarkStart w:id="311" w:name="_Toc14566"/>
      <w:r>
        <w:rPr>
          <w:rFonts w:hint="eastAsia"/>
          <w:lang w:val="en-US" w:eastAsia="zh-CN"/>
        </w:rPr>
        <w:t>供应商具有良好的商业信誉和健全的财务会计制度的证明材料</w:t>
      </w:r>
      <w:bookmarkEnd w:id="306"/>
      <w:bookmarkEnd w:id="307"/>
      <w:bookmarkEnd w:id="308"/>
      <w:bookmarkEnd w:id="309"/>
      <w:bookmarkEnd w:id="310"/>
    </w:p>
    <w:bookmarkEnd w:id="311"/>
    <w:p w14:paraId="50A517E2">
      <w:pPr>
        <w:pStyle w:val="51"/>
        <w:keepNext w:val="0"/>
        <w:keepLines w:val="0"/>
        <w:widowControl w:val="0"/>
        <w:kinsoku/>
        <w:overflowPunct/>
        <w:autoSpaceDE/>
        <w:autoSpaceDN/>
        <w:bidi w:val="0"/>
        <w:spacing w:line="520" w:lineRule="exact"/>
        <w:textAlignment w:val="auto"/>
        <w:rPr>
          <w:rFonts w:hint="eastAsia"/>
          <w:lang w:val="en-US" w:eastAsia="zh-CN"/>
        </w:rPr>
      </w:pPr>
      <w:r>
        <w:rPr>
          <w:rFonts w:hint="eastAsia"/>
          <w:lang w:val="en-US" w:eastAsia="zh-CN"/>
        </w:rPr>
        <w:t>1.供应商</w:t>
      </w:r>
      <w:r>
        <w:rPr>
          <w:rFonts w:hint="eastAsia"/>
        </w:rPr>
        <w:t>具</w:t>
      </w:r>
      <w:r>
        <w:rPr>
          <w:rFonts w:hint="eastAsia"/>
          <w:lang w:val="en-US" w:eastAsia="zh-CN"/>
        </w:rPr>
        <w:t>有</w:t>
      </w:r>
      <w:r>
        <w:rPr>
          <w:rFonts w:hint="eastAsia"/>
        </w:rPr>
        <w:t>良好商业信誉的证明材料</w:t>
      </w:r>
      <w:r>
        <w:rPr>
          <w:rFonts w:hint="eastAsia"/>
          <w:lang w:eastAsia="zh-CN"/>
        </w:rPr>
        <w:t>；</w:t>
      </w:r>
    </w:p>
    <w:p w14:paraId="5DD4F871">
      <w:pPr>
        <w:pStyle w:val="51"/>
        <w:keepNext w:val="0"/>
        <w:keepLines w:val="0"/>
        <w:widowControl w:val="0"/>
        <w:kinsoku/>
        <w:overflowPunct/>
        <w:autoSpaceDE/>
        <w:autoSpaceDN/>
        <w:bidi w:val="0"/>
        <w:spacing w:line="520" w:lineRule="exact"/>
        <w:textAlignment w:val="auto"/>
        <w:rPr>
          <w:rFonts w:hint="eastAsia"/>
          <w:lang w:eastAsia="zh-CN"/>
        </w:rPr>
      </w:pPr>
      <w:r>
        <w:rPr>
          <w:rFonts w:hint="eastAsia"/>
          <w:lang w:val="en-US" w:eastAsia="zh-CN"/>
        </w:rPr>
        <w:t>提供</w:t>
      </w:r>
      <w:r>
        <w:rPr>
          <w:rFonts w:hint="eastAsia"/>
        </w:rPr>
        <w:t>具</w:t>
      </w:r>
      <w:r>
        <w:rPr>
          <w:rFonts w:hint="eastAsia"/>
          <w:lang w:val="en-US" w:eastAsia="zh-CN"/>
        </w:rPr>
        <w:t>有</w:t>
      </w:r>
      <w:r>
        <w:rPr>
          <w:rFonts w:hint="eastAsia"/>
        </w:rPr>
        <w:t>良好</w:t>
      </w:r>
      <w:r>
        <w:rPr>
          <w:rFonts w:hint="eastAsia"/>
          <w:lang w:val="en-US" w:eastAsia="zh-CN"/>
        </w:rPr>
        <w:t>的</w:t>
      </w:r>
      <w:r>
        <w:rPr>
          <w:rFonts w:hint="eastAsia"/>
        </w:rPr>
        <w:t>商业信誉</w:t>
      </w:r>
      <w:r>
        <w:rPr>
          <w:rFonts w:hint="eastAsia"/>
          <w:lang w:val="en-US" w:eastAsia="zh-CN"/>
        </w:rPr>
        <w:t>的</w:t>
      </w:r>
      <w:r>
        <w:rPr>
          <w:rFonts w:hint="eastAsia"/>
        </w:rPr>
        <w:t>承诺函</w:t>
      </w:r>
      <w:r>
        <w:rPr>
          <w:rFonts w:hint="eastAsia"/>
          <w:lang w:eastAsia="zh-CN"/>
        </w:rPr>
        <w:t>。</w:t>
      </w:r>
    </w:p>
    <w:p w14:paraId="286AD02E">
      <w:pPr>
        <w:pStyle w:val="51"/>
        <w:keepNext w:val="0"/>
        <w:keepLines w:val="0"/>
        <w:widowControl w:val="0"/>
        <w:kinsoku/>
        <w:overflowPunct/>
        <w:autoSpaceDE/>
        <w:autoSpaceDN/>
        <w:bidi w:val="0"/>
        <w:spacing w:line="520" w:lineRule="exact"/>
        <w:textAlignment w:val="auto"/>
        <w:rPr>
          <w:rFonts w:hint="eastAsia"/>
          <w:b/>
          <w:bCs/>
          <w:highlight w:val="none"/>
          <w:lang w:val="en-US" w:eastAsia="zh-CN"/>
        </w:rPr>
      </w:pPr>
      <w:r>
        <w:rPr>
          <w:rFonts w:hint="eastAsia"/>
          <w:b/>
          <w:bCs/>
          <w:highlight w:val="none"/>
          <w:lang w:val="en-US" w:eastAsia="zh-CN"/>
        </w:rPr>
        <w:t>注：</w:t>
      </w:r>
      <w:r>
        <w:rPr>
          <w:rFonts w:hint="eastAsia" w:cs="宋体" w:asciiTheme="minorEastAsia" w:hAnsiTheme="minorEastAsia" w:eastAsiaTheme="minorEastAsia"/>
          <w:b/>
          <w:bCs/>
          <w:highlight w:val="none"/>
          <w:lang w:val="en-US" w:eastAsia="zh-CN"/>
        </w:rPr>
        <w:t>承诺函</w:t>
      </w:r>
      <w:r>
        <w:rPr>
          <w:rFonts w:hint="eastAsia"/>
          <w:b/>
          <w:bCs w:val="0"/>
          <w:color w:val="auto"/>
          <w:highlight w:val="none"/>
        </w:rPr>
        <w:t>格式自拟，或参照《承诺及声明函》的格式提供</w:t>
      </w:r>
      <w:r>
        <w:rPr>
          <w:rFonts w:hint="eastAsia"/>
          <w:b/>
          <w:bCs/>
          <w:highlight w:val="none"/>
          <w:lang w:val="en-US" w:eastAsia="zh-CN"/>
        </w:rPr>
        <w:t>。</w:t>
      </w:r>
    </w:p>
    <w:p w14:paraId="4499D41D">
      <w:pPr>
        <w:pStyle w:val="51"/>
        <w:keepNext w:val="0"/>
        <w:keepLines w:val="0"/>
        <w:widowControl w:val="0"/>
        <w:kinsoku/>
        <w:overflowPunct/>
        <w:autoSpaceDE/>
        <w:autoSpaceDN/>
        <w:bidi w:val="0"/>
        <w:spacing w:line="520" w:lineRule="exact"/>
        <w:textAlignment w:val="auto"/>
        <w:rPr>
          <w:rFonts w:hint="eastAsia"/>
          <w:lang w:val="en-US" w:eastAsia="zh-CN"/>
        </w:rPr>
      </w:pPr>
      <w:r>
        <w:rPr>
          <w:rFonts w:hint="eastAsia"/>
          <w:lang w:val="en-US" w:eastAsia="zh-CN"/>
        </w:rPr>
        <w:t>2.供应商具有健全的财务会计制度的证明材料；</w:t>
      </w:r>
    </w:p>
    <w:p w14:paraId="0FCBE458">
      <w:pPr>
        <w:pStyle w:val="51"/>
        <w:keepNext w:val="0"/>
        <w:keepLines w:val="0"/>
        <w:widowControl w:val="0"/>
        <w:kinsoku/>
        <w:overflowPunct/>
        <w:autoSpaceDE/>
        <w:autoSpaceDN/>
        <w:bidi w:val="0"/>
        <w:spacing w:line="520" w:lineRule="exact"/>
        <w:textAlignment w:val="auto"/>
        <w:rPr>
          <w:rFonts w:hint="default"/>
          <w:lang w:val="en-US" w:eastAsia="zh-CN"/>
        </w:rPr>
      </w:pPr>
      <w:r>
        <w:rPr>
          <w:rFonts w:hint="eastAsia"/>
          <w:lang w:val="en-US" w:eastAsia="zh-CN"/>
        </w:rPr>
        <w:t>(1)供应商提供2024年度或2025年度经过会计师事务所审计的财务报告复印件(经审计的有效财务报告应包括报告及报告中所附的完整内容，并由注册会计师签名、盖章以及会计师事务所盖章)；</w:t>
      </w:r>
    </w:p>
    <w:p w14:paraId="42438CD3">
      <w:pPr>
        <w:pStyle w:val="51"/>
        <w:keepNext w:val="0"/>
        <w:keepLines w:val="0"/>
        <w:widowControl w:val="0"/>
        <w:kinsoku/>
        <w:overflowPunct/>
        <w:autoSpaceDE/>
        <w:autoSpaceDN/>
        <w:bidi w:val="0"/>
        <w:spacing w:line="520" w:lineRule="exact"/>
        <w:textAlignment w:val="auto"/>
        <w:rPr>
          <w:rFonts w:hint="eastAsia"/>
          <w:lang w:val="en-US" w:eastAsia="zh-CN"/>
        </w:rPr>
      </w:pPr>
      <w:r>
        <w:rPr>
          <w:rFonts w:hint="eastAsia"/>
          <w:lang w:val="en-US" w:eastAsia="zh-CN"/>
        </w:rPr>
        <w:t>(2)供应商提供2024年度或2025年度供应商内部的财务报表复印件(至少包含资产负债表)；</w:t>
      </w:r>
    </w:p>
    <w:p w14:paraId="2EC6B746">
      <w:pPr>
        <w:pStyle w:val="51"/>
        <w:keepNext w:val="0"/>
        <w:keepLines w:val="0"/>
        <w:widowControl w:val="0"/>
        <w:kinsoku/>
        <w:overflowPunct/>
        <w:autoSpaceDE/>
        <w:autoSpaceDN/>
        <w:bidi w:val="0"/>
        <w:spacing w:line="520" w:lineRule="exact"/>
        <w:textAlignment w:val="auto"/>
        <w:rPr>
          <w:rFonts w:hint="eastAsia"/>
          <w:lang w:val="en-US" w:eastAsia="zh-CN"/>
        </w:rPr>
      </w:pPr>
      <w:r>
        <w:rPr>
          <w:rFonts w:hint="eastAsia"/>
          <w:lang w:val="en-US" w:eastAsia="zh-CN"/>
        </w:rPr>
        <w:t>(3)供应商提供响应文件递交截止日前一年内银行为其出具的资信证明复印件；</w:t>
      </w:r>
    </w:p>
    <w:p w14:paraId="4A588E9B">
      <w:pPr>
        <w:pStyle w:val="51"/>
        <w:keepNext w:val="0"/>
        <w:keepLines w:val="0"/>
        <w:widowControl w:val="0"/>
        <w:kinsoku/>
        <w:overflowPunct/>
        <w:autoSpaceDE/>
        <w:autoSpaceDN/>
        <w:bidi w:val="0"/>
        <w:spacing w:line="520" w:lineRule="exact"/>
        <w:textAlignment w:val="auto"/>
        <w:rPr>
          <w:rFonts w:hint="eastAsia"/>
          <w:lang w:val="en-US" w:eastAsia="zh-CN"/>
        </w:rPr>
      </w:pPr>
      <w:r>
        <w:rPr>
          <w:rFonts w:hint="eastAsia"/>
          <w:lang w:val="en-US" w:eastAsia="zh-CN"/>
        </w:rPr>
        <w:t>(4)供应商注册时间截至响应文件递交截止日不足一年的，可提供公司章程复印件；</w:t>
      </w:r>
    </w:p>
    <w:p w14:paraId="0E5DB093">
      <w:pPr>
        <w:pStyle w:val="51"/>
        <w:keepNext w:val="0"/>
        <w:keepLines w:val="0"/>
        <w:widowControl w:val="0"/>
        <w:kinsoku/>
        <w:overflowPunct/>
        <w:autoSpaceDE/>
        <w:autoSpaceDN/>
        <w:bidi w:val="0"/>
        <w:spacing w:line="520" w:lineRule="exact"/>
        <w:textAlignment w:val="auto"/>
        <w:rPr>
          <w:rFonts w:hint="eastAsia" w:eastAsia="宋体"/>
          <w:lang w:val="en-US" w:eastAsia="zh-CN"/>
        </w:rPr>
      </w:pPr>
      <w:r>
        <w:rPr>
          <w:rFonts w:hint="eastAsia"/>
          <w:lang w:val="en-US" w:eastAsia="zh-CN"/>
        </w:rPr>
        <w:t>(5)供应商提供</w:t>
      </w:r>
      <w:r>
        <w:rPr>
          <w:rFonts w:hint="eastAsia"/>
        </w:rPr>
        <w:t>具</w:t>
      </w:r>
      <w:r>
        <w:rPr>
          <w:rFonts w:hint="eastAsia"/>
          <w:lang w:val="en-US" w:eastAsia="zh-CN"/>
        </w:rPr>
        <w:t>有健全的财务会计制度的</w:t>
      </w:r>
      <w:r>
        <w:rPr>
          <w:rFonts w:hint="eastAsia"/>
        </w:rPr>
        <w:t>承诺函</w:t>
      </w:r>
      <w:r>
        <w:rPr>
          <w:rFonts w:hint="eastAsia"/>
          <w:lang w:eastAsia="zh-CN"/>
        </w:rPr>
        <w:t>。</w:t>
      </w:r>
    </w:p>
    <w:p w14:paraId="2BF6DF68">
      <w:pPr>
        <w:pStyle w:val="53"/>
        <w:keepNext w:val="0"/>
        <w:keepLines w:val="0"/>
        <w:widowControl w:val="0"/>
        <w:kinsoku/>
        <w:overflowPunct/>
        <w:autoSpaceDE/>
        <w:autoSpaceDN/>
        <w:bidi w:val="0"/>
        <w:spacing w:line="520" w:lineRule="exact"/>
        <w:textAlignment w:val="auto"/>
        <w:rPr>
          <w:rFonts w:hint="eastAsia" w:eastAsia="宋体"/>
          <w:lang w:val="en-US" w:eastAsia="zh-CN"/>
        </w:rPr>
      </w:pPr>
      <w:r>
        <w:rPr>
          <w:rFonts w:hint="eastAsia"/>
          <w:b/>
          <w:bCs/>
          <w:lang w:val="en-US" w:eastAsia="zh-CN"/>
        </w:rPr>
        <w:t>注：①具有健全的财务会计制度的证明材料中第(1)-(5)项具有同等的磋商效力</w:t>
      </w:r>
      <w:r>
        <w:rPr>
          <w:rFonts w:hint="eastAsia"/>
          <w:b/>
          <w:bCs/>
          <w:highlight w:val="none"/>
          <w:lang w:val="en-US" w:eastAsia="zh-CN"/>
        </w:rPr>
        <w:t>，供应商可根据自身实际情况选择提供其中任意一项。②</w:t>
      </w:r>
      <w:r>
        <w:rPr>
          <w:rFonts w:hint="eastAsia" w:cs="宋体" w:asciiTheme="minorEastAsia" w:hAnsiTheme="minorEastAsia" w:eastAsiaTheme="minorEastAsia"/>
          <w:b/>
          <w:bCs/>
          <w:highlight w:val="none"/>
          <w:lang w:val="en-US" w:eastAsia="zh-CN"/>
        </w:rPr>
        <w:t>承诺函</w:t>
      </w:r>
      <w:r>
        <w:rPr>
          <w:rFonts w:hint="eastAsia"/>
          <w:b/>
          <w:bCs w:val="0"/>
          <w:color w:val="auto"/>
          <w:highlight w:val="none"/>
        </w:rPr>
        <w:t>格式自拟，或参照《承诺及声明函》的格式提供</w:t>
      </w:r>
      <w:r>
        <w:rPr>
          <w:rFonts w:hint="eastAsia"/>
          <w:b/>
          <w:bCs w:val="0"/>
          <w:color w:val="auto"/>
          <w:highlight w:val="none"/>
          <w:lang w:eastAsia="zh-CN"/>
        </w:rPr>
        <w:t>。</w:t>
      </w:r>
    </w:p>
    <w:p w14:paraId="79BAC372">
      <w:pPr>
        <w:pStyle w:val="53"/>
        <w:keepNext w:val="0"/>
        <w:keepLines w:val="0"/>
        <w:widowControl w:val="0"/>
        <w:kinsoku/>
        <w:overflowPunct/>
        <w:autoSpaceDE/>
        <w:autoSpaceDN/>
        <w:bidi w:val="0"/>
        <w:spacing w:line="520" w:lineRule="exact"/>
        <w:textAlignment w:val="auto"/>
        <w:rPr>
          <w:rFonts w:hint="eastAsia"/>
          <w:lang w:val="en-US" w:eastAsia="zh-CN"/>
        </w:rPr>
      </w:pPr>
    </w:p>
    <w:p w14:paraId="492B4ACD">
      <w:pPr>
        <w:pStyle w:val="49"/>
        <w:keepNext w:val="0"/>
        <w:keepLines w:val="0"/>
        <w:widowControl w:val="0"/>
        <w:numPr>
          <w:ilvl w:val="0"/>
          <w:numId w:val="13"/>
        </w:numPr>
        <w:kinsoku/>
        <w:overflowPunct/>
        <w:autoSpaceDE/>
        <w:autoSpaceDN/>
        <w:bidi w:val="0"/>
        <w:spacing w:line="520" w:lineRule="exact"/>
        <w:ind w:left="0" w:leftChars="0" w:firstLine="0" w:firstLineChars="0"/>
        <w:textAlignment w:val="auto"/>
        <w:rPr>
          <w:rFonts w:hint="eastAsia"/>
          <w:lang w:val="en-US" w:eastAsia="zh-CN"/>
        </w:rPr>
      </w:pPr>
      <w:bookmarkStart w:id="312" w:name="_Toc8147"/>
      <w:bookmarkStart w:id="313" w:name="_Toc19866"/>
      <w:bookmarkStart w:id="314" w:name="_Toc5052"/>
      <w:bookmarkStart w:id="315" w:name="_Toc19126"/>
      <w:bookmarkStart w:id="316" w:name="_Toc17744"/>
      <w:bookmarkStart w:id="317" w:name="_Toc5443"/>
      <w:r>
        <w:rPr>
          <w:rFonts w:hint="eastAsia"/>
          <w:lang w:val="en-US" w:eastAsia="zh-CN"/>
        </w:rPr>
        <w:t>供应商有依法缴纳税收和社会保障资金的良好记录的证明材料</w:t>
      </w:r>
      <w:bookmarkEnd w:id="312"/>
      <w:bookmarkEnd w:id="313"/>
      <w:bookmarkEnd w:id="314"/>
      <w:bookmarkEnd w:id="315"/>
      <w:bookmarkEnd w:id="316"/>
    </w:p>
    <w:bookmarkEnd w:id="317"/>
    <w:p w14:paraId="0BDE7EDE">
      <w:pPr>
        <w:pStyle w:val="51"/>
        <w:keepNext w:val="0"/>
        <w:keepLines w:val="0"/>
        <w:widowControl w:val="0"/>
        <w:kinsoku/>
        <w:overflowPunct/>
        <w:autoSpaceDE/>
        <w:autoSpaceDN/>
        <w:bidi w:val="0"/>
        <w:spacing w:line="520" w:lineRule="exact"/>
        <w:textAlignment w:val="auto"/>
        <w:rPr>
          <w:rFonts w:hint="eastAsia"/>
          <w:highlight w:val="none"/>
        </w:rPr>
      </w:pPr>
      <w:r>
        <w:rPr>
          <w:rFonts w:hint="eastAsia"/>
          <w:highlight w:val="none"/>
        </w:rPr>
        <w:t>提供</w:t>
      </w:r>
      <w:r>
        <w:rPr>
          <w:rFonts w:hint="eastAsia"/>
          <w:highlight w:val="none"/>
          <w:lang w:val="en-US" w:eastAsia="zh-CN"/>
        </w:rPr>
        <w:t>有</w:t>
      </w:r>
      <w:r>
        <w:rPr>
          <w:rFonts w:hint="eastAsia"/>
          <w:highlight w:val="none"/>
          <w:lang w:val="zh-CN"/>
        </w:rPr>
        <w:t>依法缴纳税收和社会保障资金的良好记录</w:t>
      </w:r>
      <w:r>
        <w:rPr>
          <w:rFonts w:hint="eastAsia"/>
          <w:highlight w:val="none"/>
        </w:rPr>
        <w:t>的承诺函</w:t>
      </w:r>
      <w:r>
        <w:rPr>
          <w:rFonts w:hint="eastAsia"/>
          <w:highlight w:val="none"/>
          <w:lang w:eastAsia="zh-CN"/>
        </w:rPr>
        <w:t>。</w:t>
      </w:r>
    </w:p>
    <w:p w14:paraId="1286A9F1">
      <w:pPr>
        <w:pStyle w:val="53"/>
        <w:keepNext w:val="0"/>
        <w:keepLines w:val="0"/>
        <w:widowControl w:val="0"/>
        <w:kinsoku/>
        <w:overflowPunct/>
        <w:autoSpaceDE/>
        <w:autoSpaceDN/>
        <w:bidi w:val="0"/>
        <w:spacing w:line="520" w:lineRule="exact"/>
        <w:textAlignment w:val="auto"/>
        <w:rPr>
          <w:rFonts w:hint="eastAsia"/>
          <w:highlight w:val="none"/>
          <w:lang w:val="en-US" w:eastAsia="zh-CN"/>
        </w:rPr>
      </w:pPr>
      <w:r>
        <w:rPr>
          <w:rFonts w:hint="eastAsia"/>
          <w:highlight w:val="none"/>
          <w:lang w:val="en-US" w:eastAsia="zh-CN"/>
        </w:rPr>
        <w:t>注：</w:t>
      </w:r>
      <w:r>
        <w:rPr>
          <w:rFonts w:hint="eastAsia" w:cs="宋体" w:asciiTheme="minorEastAsia" w:hAnsiTheme="minorEastAsia" w:eastAsiaTheme="minorEastAsia"/>
          <w:b/>
          <w:bCs/>
          <w:highlight w:val="none"/>
          <w:lang w:val="en-US" w:eastAsia="zh-CN"/>
        </w:rPr>
        <w:t>承诺函</w:t>
      </w:r>
      <w:r>
        <w:rPr>
          <w:rFonts w:hint="eastAsia"/>
          <w:b/>
          <w:bCs w:val="0"/>
          <w:color w:val="auto"/>
          <w:highlight w:val="none"/>
        </w:rPr>
        <w:t>格式自拟，或参照《承诺及声明函》的格式提供</w:t>
      </w:r>
      <w:r>
        <w:rPr>
          <w:rFonts w:hint="eastAsia"/>
          <w:highlight w:val="none"/>
          <w:lang w:val="en-US" w:eastAsia="zh-CN"/>
        </w:rPr>
        <w:t>。</w:t>
      </w:r>
    </w:p>
    <w:p w14:paraId="56409835">
      <w:pPr>
        <w:pStyle w:val="48"/>
        <w:keepNext w:val="0"/>
        <w:keepLines w:val="0"/>
        <w:widowControl w:val="0"/>
        <w:kinsoku/>
        <w:overflowPunct/>
        <w:autoSpaceDE/>
        <w:autoSpaceDN/>
        <w:bidi w:val="0"/>
        <w:spacing w:line="520" w:lineRule="exact"/>
        <w:textAlignment w:val="auto"/>
        <w:rPr>
          <w:rFonts w:hint="eastAsia"/>
          <w:lang w:val="en-US" w:eastAsia="zh-CN"/>
        </w:rPr>
      </w:pPr>
      <w:r>
        <w:rPr>
          <w:rFonts w:hint="eastAsia"/>
          <w:lang w:val="en-US" w:eastAsia="zh-CN"/>
        </w:rPr>
        <w:br w:type="page"/>
      </w:r>
    </w:p>
    <w:p w14:paraId="365886F9">
      <w:pPr>
        <w:pStyle w:val="49"/>
        <w:keepNext w:val="0"/>
        <w:keepLines w:val="0"/>
        <w:widowControl w:val="0"/>
        <w:numPr>
          <w:ilvl w:val="0"/>
          <w:numId w:val="13"/>
        </w:numPr>
        <w:kinsoku/>
        <w:overflowPunct/>
        <w:autoSpaceDE/>
        <w:autoSpaceDN/>
        <w:bidi w:val="0"/>
        <w:spacing w:line="520" w:lineRule="exact"/>
        <w:ind w:left="0" w:leftChars="0" w:firstLine="0" w:firstLineChars="0"/>
        <w:textAlignment w:val="auto"/>
        <w:rPr>
          <w:rFonts w:hint="eastAsia"/>
          <w:lang w:val="en-US" w:eastAsia="zh-CN"/>
        </w:rPr>
      </w:pPr>
      <w:bookmarkStart w:id="318" w:name="_Toc16336"/>
      <w:bookmarkStart w:id="319" w:name="_Toc3937"/>
      <w:bookmarkStart w:id="320" w:name="_Toc31585"/>
      <w:bookmarkStart w:id="321" w:name="_Toc15870"/>
      <w:bookmarkStart w:id="322" w:name="_Toc6093"/>
      <w:r>
        <w:rPr>
          <w:rFonts w:hint="eastAsia"/>
          <w:lang w:val="en-US" w:eastAsia="zh-CN"/>
        </w:rPr>
        <w:t>供应商具有履行合同所必需的设备和专业技术能力证明材料</w:t>
      </w:r>
      <w:bookmarkEnd w:id="318"/>
      <w:bookmarkEnd w:id="319"/>
      <w:bookmarkEnd w:id="320"/>
      <w:bookmarkEnd w:id="321"/>
      <w:bookmarkEnd w:id="322"/>
    </w:p>
    <w:p w14:paraId="4A37F9A5">
      <w:pPr>
        <w:pStyle w:val="51"/>
        <w:keepNext w:val="0"/>
        <w:keepLines w:val="0"/>
        <w:widowControl w:val="0"/>
        <w:kinsoku/>
        <w:overflowPunct/>
        <w:autoSpaceDE/>
        <w:autoSpaceDN/>
        <w:bidi w:val="0"/>
        <w:spacing w:line="520" w:lineRule="exact"/>
        <w:textAlignment w:val="auto"/>
        <w:rPr>
          <w:rFonts w:hint="eastAsia"/>
          <w:highlight w:val="none"/>
          <w:lang w:val="en-US" w:eastAsia="zh-CN"/>
        </w:rPr>
      </w:pPr>
      <w:r>
        <w:rPr>
          <w:rFonts w:hint="eastAsia"/>
          <w:highlight w:val="none"/>
          <w:lang w:val="en-US" w:eastAsia="zh-CN"/>
        </w:rPr>
        <w:t>提供具有履行合同所必需的设备和专业技术能力的承诺函。</w:t>
      </w:r>
    </w:p>
    <w:p w14:paraId="49E78976">
      <w:pPr>
        <w:pStyle w:val="53"/>
        <w:keepNext w:val="0"/>
        <w:keepLines w:val="0"/>
        <w:widowControl w:val="0"/>
        <w:kinsoku/>
        <w:overflowPunct/>
        <w:autoSpaceDE/>
        <w:autoSpaceDN/>
        <w:bidi w:val="0"/>
        <w:spacing w:line="520" w:lineRule="exact"/>
        <w:textAlignment w:val="auto"/>
        <w:rPr>
          <w:rFonts w:hint="eastAsia"/>
          <w:highlight w:val="none"/>
          <w:lang w:val="en-US" w:eastAsia="zh-CN"/>
        </w:rPr>
      </w:pPr>
      <w:r>
        <w:rPr>
          <w:rFonts w:hint="eastAsia"/>
          <w:highlight w:val="none"/>
          <w:lang w:val="en-US" w:eastAsia="zh-CN"/>
        </w:rPr>
        <w:t>注：</w:t>
      </w:r>
      <w:r>
        <w:rPr>
          <w:rFonts w:hint="eastAsia" w:cs="宋体" w:asciiTheme="minorEastAsia" w:hAnsiTheme="minorEastAsia" w:eastAsiaTheme="minorEastAsia"/>
          <w:b/>
          <w:bCs/>
          <w:highlight w:val="none"/>
          <w:lang w:val="en-US" w:eastAsia="zh-CN"/>
        </w:rPr>
        <w:t>承诺函</w:t>
      </w:r>
      <w:r>
        <w:rPr>
          <w:rFonts w:hint="eastAsia"/>
          <w:b/>
          <w:bCs w:val="0"/>
          <w:color w:val="auto"/>
          <w:highlight w:val="none"/>
        </w:rPr>
        <w:t>格式自拟，或参照《承诺及声明函》的格式提供</w:t>
      </w:r>
      <w:r>
        <w:rPr>
          <w:rFonts w:hint="eastAsia"/>
          <w:highlight w:val="none"/>
          <w:lang w:val="en-US" w:eastAsia="zh-CN"/>
        </w:rPr>
        <w:t>。</w:t>
      </w:r>
    </w:p>
    <w:p w14:paraId="3B2D3D84">
      <w:pPr>
        <w:pStyle w:val="48"/>
        <w:keepNext w:val="0"/>
        <w:keepLines w:val="0"/>
        <w:widowControl w:val="0"/>
        <w:kinsoku/>
        <w:overflowPunct/>
        <w:autoSpaceDE/>
        <w:autoSpaceDN/>
        <w:bidi w:val="0"/>
        <w:spacing w:line="520" w:lineRule="exact"/>
        <w:textAlignment w:val="auto"/>
        <w:rPr>
          <w:rFonts w:hint="eastAsia"/>
          <w:lang w:val="en-US" w:eastAsia="zh-CN"/>
        </w:rPr>
      </w:pPr>
      <w:r>
        <w:rPr>
          <w:rFonts w:hint="eastAsia"/>
          <w:lang w:val="en-US" w:eastAsia="zh-CN"/>
        </w:rPr>
        <w:br w:type="page"/>
      </w:r>
    </w:p>
    <w:p w14:paraId="0A5C4FB1">
      <w:pPr>
        <w:pStyle w:val="49"/>
        <w:keepNext w:val="0"/>
        <w:keepLines w:val="0"/>
        <w:widowControl w:val="0"/>
        <w:numPr>
          <w:ilvl w:val="0"/>
          <w:numId w:val="13"/>
        </w:numPr>
        <w:kinsoku/>
        <w:overflowPunct/>
        <w:autoSpaceDE/>
        <w:autoSpaceDN/>
        <w:bidi w:val="0"/>
        <w:spacing w:line="520" w:lineRule="exact"/>
        <w:ind w:left="0" w:leftChars="0" w:firstLine="0" w:firstLineChars="0"/>
        <w:textAlignment w:val="auto"/>
        <w:rPr>
          <w:rFonts w:hint="eastAsia"/>
          <w:lang w:val="en-US" w:eastAsia="zh-CN"/>
        </w:rPr>
      </w:pPr>
      <w:bookmarkStart w:id="323" w:name="_Toc8813"/>
      <w:bookmarkStart w:id="324" w:name="_Toc355"/>
      <w:bookmarkStart w:id="325" w:name="_Toc21379"/>
      <w:bookmarkStart w:id="326" w:name="_Toc20104"/>
      <w:r>
        <w:rPr>
          <w:rFonts w:hint="eastAsia"/>
          <w:lang w:val="en-US" w:eastAsia="zh-CN"/>
        </w:rPr>
        <w:t>供应商参加采购活动前三年内，在经营活动中没有重大违法记录的证明材料</w:t>
      </w:r>
      <w:bookmarkEnd w:id="323"/>
      <w:bookmarkEnd w:id="324"/>
      <w:bookmarkEnd w:id="325"/>
      <w:bookmarkEnd w:id="326"/>
    </w:p>
    <w:p w14:paraId="1090D690">
      <w:pPr>
        <w:pStyle w:val="51"/>
        <w:keepNext w:val="0"/>
        <w:keepLines w:val="0"/>
        <w:widowControl w:val="0"/>
        <w:kinsoku/>
        <w:overflowPunct/>
        <w:autoSpaceDE/>
        <w:autoSpaceDN/>
        <w:bidi w:val="0"/>
        <w:spacing w:line="520" w:lineRule="exact"/>
        <w:textAlignment w:val="auto"/>
        <w:rPr>
          <w:rFonts w:hint="eastAsia"/>
          <w:highlight w:val="none"/>
          <w:lang w:val="en-US" w:eastAsia="zh-CN"/>
        </w:rPr>
      </w:pPr>
      <w:bookmarkStart w:id="327" w:name="_Toc14299"/>
      <w:bookmarkStart w:id="328" w:name="_Toc9591"/>
      <w:r>
        <w:rPr>
          <w:rFonts w:hint="eastAsia"/>
          <w:highlight w:val="none"/>
          <w:lang w:val="en-US" w:eastAsia="zh-CN"/>
        </w:rPr>
        <w:t>提供参加本次采购活动前三年内，在经营活动中没有重大违法记录的书面声明(成立不足三年的，从成立之日起计算)。</w:t>
      </w:r>
    </w:p>
    <w:p w14:paraId="71E0716A">
      <w:pPr>
        <w:pStyle w:val="53"/>
        <w:keepNext w:val="0"/>
        <w:keepLines w:val="0"/>
        <w:widowControl w:val="0"/>
        <w:kinsoku/>
        <w:overflowPunct/>
        <w:autoSpaceDE/>
        <w:autoSpaceDN/>
        <w:bidi w:val="0"/>
        <w:spacing w:line="520" w:lineRule="exact"/>
        <w:textAlignment w:val="auto"/>
        <w:rPr>
          <w:rFonts w:hint="eastAsia"/>
          <w:highlight w:val="none"/>
          <w:lang w:val="en-US" w:eastAsia="zh-CN"/>
        </w:rPr>
      </w:pPr>
      <w:r>
        <w:rPr>
          <w:rFonts w:hint="eastAsia"/>
          <w:highlight w:val="none"/>
          <w:lang w:val="en-US" w:eastAsia="zh-CN"/>
        </w:rPr>
        <w:t>注：声明</w:t>
      </w:r>
      <w:r>
        <w:rPr>
          <w:rFonts w:hint="eastAsia" w:cs="宋体" w:asciiTheme="minorEastAsia" w:hAnsiTheme="minorEastAsia" w:eastAsiaTheme="minorEastAsia"/>
          <w:b/>
          <w:bCs/>
          <w:highlight w:val="none"/>
          <w:lang w:val="en-US" w:eastAsia="zh-CN"/>
        </w:rPr>
        <w:t>函</w:t>
      </w:r>
      <w:r>
        <w:rPr>
          <w:rFonts w:hint="eastAsia"/>
          <w:b/>
          <w:bCs w:val="0"/>
          <w:color w:val="auto"/>
          <w:highlight w:val="none"/>
        </w:rPr>
        <w:t>格式自拟，或参照《承诺及声明函》的格式提供</w:t>
      </w:r>
      <w:r>
        <w:rPr>
          <w:rFonts w:hint="eastAsia"/>
          <w:highlight w:val="none"/>
          <w:lang w:val="en-US" w:eastAsia="zh-CN"/>
        </w:rPr>
        <w:t>。</w:t>
      </w:r>
    </w:p>
    <w:p w14:paraId="08FE570C">
      <w:pPr>
        <w:pStyle w:val="49"/>
        <w:keepNext w:val="0"/>
        <w:keepLines w:val="0"/>
        <w:widowControl w:val="0"/>
        <w:numPr>
          <w:ilvl w:val="0"/>
          <w:numId w:val="13"/>
        </w:numPr>
        <w:kinsoku/>
        <w:overflowPunct/>
        <w:autoSpaceDE/>
        <w:autoSpaceDN/>
        <w:bidi w:val="0"/>
        <w:spacing w:line="520" w:lineRule="exact"/>
        <w:ind w:left="0" w:leftChars="0" w:firstLine="0" w:firstLineChars="0"/>
        <w:textAlignment w:val="auto"/>
        <w:rPr>
          <w:rFonts w:hint="eastAsia" w:ascii="宋体" w:hAnsi="宋体" w:eastAsia="宋体"/>
          <w:spacing w:val="-6"/>
          <w:lang w:val="zh-CN" w:eastAsia="zh-CN"/>
        </w:rPr>
      </w:pPr>
      <w:bookmarkStart w:id="329" w:name="_Toc3840"/>
      <w:bookmarkStart w:id="330" w:name="_Toc17558"/>
      <w:bookmarkStart w:id="331" w:name="_Toc28546"/>
      <w:bookmarkStart w:id="332" w:name="_Toc19602"/>
      <w:bookmarkStart w:id="333" w:name="_Toc15176"/>
      <w:r>
        <w:rPr>
          <w:rFonts w:hint="eastAsia" w:ascii="宋体" w:hAnsi="宋体" w:eastAsia="宋体"/>
          <w:spacing w:val="-6"/>
          <w:lang w:val="en-US" w:eastAsia="zh-CN"/>
        </w:rPr>
        <w:t>供应商单位</w:t>
      </w:r>
      <w:r>
        <w:rPr>
          <w:rFonts w:hint="eastAsia" w:ascii="宋体" w:hAnsi="宋体" w:eastAsia="宋体"/>
          <w:spacing w:val="-6"/>
          <w:lang w:val="zh-CN" w:eastAsia="zh-CN"/>
        </w:rPr>
        <w:t>及其现任法定代表人、主要负责人不得具有行贿犯罪记录</w:t>
      </w:r>
      <w:r>
        <w:rPr>
          <w:rFonts w:hint="eastAsia" w:ascii="宋体" w:hAnsi="宋体" w:eastAsia="宋体"/>
          <w:spacing w:val="-6"/>
          <w:lang w:val="en-US" w:eastAsia="zh-CN"/>
        </w:rPr>
        <w:t>的</w:t>
      </w:r>
      <w:bookmarkEnd w:id="329"/>
      <w:bookmarkEnd w:id="330"/>
      <w:r>
        <w:rPr>
          <w:rFonts w:hint="eastAsia" w:ascii="宋体" w:hAnsi="宋体" w:eastAsia="宋体"/>
          <w:spacing w:val="-6"/>
          <w:lang w:val="en-US" w:eastAsia="zh-CN"/>
        </w:rPr>
        <w:t>承诺函</w:t>
      </w:r>
      <w:bookmarkEnd w:id="331"/>
      <w:bookmarkEnd w:id="332"/>
      <w:bookmarkEnd w:id="333"/>
    </w:p>
    <w:bookmarkEnd w:id="327"/>
    <w:bookmarkEnd w:id="328"/>
    <w:p w14:paraId="4A4E2986">
      <w:pPr>
        <w:pStyle w:val="48"/>
        <w:keepNext w:val="0"/>
        <w:keepLines w:val="0"/>
        <w:widowControl w:val="0"/>
        <w:kinsoku/>
        <w:overflowPunct/>
        <w:autoSpaceDE/>
        <w:autoSpaceDN/>
        <w:bidi w:val="0"/>
        <w:spacing w:line="520" w:lineRule="exact"/>
        <w:ind w:left="0" w:leftChars="0" w:firstLine="0" w:firstLineChars="0"/>
        <w:textAlignment w:val="auto"/>
        <w:rPr>
          <w:rFonts w:hint="eastAsia" w:ascii="宋体" w:hAnsi="宋体" w:eastAsia="宋体" w:cs="宋体"/>
          <w:highlight w:val="none"/>
        </w:rPr>
      </w:pPr>
      <w:bookmarkStart w:id="334" w:name="_Toc8455"/>
      <w:r>
        <w:rPr>
          <w:rFonts w:hint="eastAsia" w:ascii="宋体" w:hAnsi="宋体" w:eastAsia="宋体" w:cs="宋体"/>
          <w:highlight w:val="none"/>
          <w:u w:val="single"/>
        </w:rPr>
        <w:t xml:space="preserve">                   </w:t>
      </w:r>
      <w:r>
        <w:rPr>
          <w:rFonts w:hint="eastAsia" w:ascii="宋体" w:hAnsi="宋体" w:eastAsia="宋体" w:cs="宋体"/>
          <w:highlight w:val="none"/>
          <w:lang w:eastAsia="zh-CN"/>
        </w:rPr>
        <w:t>(</w:t>
      </w:r>
      <w:r>
        <w:rPr>
          <w:rFonts w:hint="eastAsia" w:ascii="宋体" w:hAnsi="宋体" w:eastAsia="宋体" w:cs="宋体"/>
          <w:highlight w:val="none"/>
        </w:rPr>
        <w:t>采购代理机构名称</w:t>
      </w:r>
      <w:r>
        <w:rPr>
          <w:rFonts w:hint="eastAsia" w:ascii="宋体" w:hAnsi="宋体" w:eastAsia="宋体" w:cs="宋体"/>
          <w:highlight w:val="none"/>
          <w:lang w:eastAsia="zh-CN"/>
        </w:rPr>
        <w:t>)</w:t>
      </w:r>
      <w:r>
        <w:rPr>
          <w:rFonts w:hint="eastAsia" w:ascii="宋体" w:hAnsi="宋体" w:eastAsia="宋体" w:cs="宋体"/>
          <w:highlight w:val="none"/>
        </w:rPr>
        <w:t>：</w:t>
      </w:r>
    </w:p>
    <w:p w14:paraId="771D9205">
      <w:pPr>
        <w:pStyle w:val="48"/>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ascii="宋体" w:hAnsi="宋体" w:eastAsia="宋体" w:cs="宋体"/>
          <w:highlight w:val="none"/>
        </w:rPr>
      </w:pPr>
      <w:r>
        <w:rPr>
          <w:rFonts w:hint="eastAsia" w:ascii="宋体" w:hAnsi="宋体" w:eastAsia="宋体" w:cs="宋体"/>
          <w:highlight w:val="none"/>
        </w:rPr>
        <w:t>我</w:t>
      </w:r>
      <w:r>
        <w:rPr>
          <w:rFonts w:hint="eastAsia" w:cs="宋体"/>
          <w:highlight w:val="none"/>
          <w:lang w:val="en-US" w:eastAsia="zh-CN"/>
        </w:rPr>
        <w:t>单位</w:t>
      </w:r>
      <w:r>
        <w:rPr>
          <w:rFonts w:hint="eastAsia" w:ascii="宋体" w:hAnsi="宋体" w:eastAsia="宋体" w:cs="宋体"/>
          <w:highlight w:val="none"/>
        </w:rPr>
        <w:t>作为本次采购项目的供应商，根据</w:t>
      </w:r>
      <w:r>
        <w:rPr>
          <w:rFonts w:hint="eastAsia" w:ascii="宋体" w:hAnsi="宋体" w:eastAsia="宋体" w:cs="宋体"/>
          <w:highlight w:val="none"/>
          <w:lang w:val="en-US" w:eastAsia="zh-CN"/>
        </w:rPr>
        <w:t>磋商</w:t>
      </w:r>
      <w:r>
        <w:rPr>
          <w:rFonts w:hint="eastAsia" w:ascii="宋体" w:hAnsi="宋体" w:eastAsia="宋体" w:cs="宋体"/>
          <w:highlight w:val="none"/>
          <w:lang w:eastAsia="zh-CN"/>
        </w:rPr>
        <w:t>文件</w:t>
      </w:r>
      <w:r>
        <w:rPr>
          <w:rFonts w:hint="eastAsia" w:ascii="宋体" w:hAnsi="宋体" w:eastAsia="宋体" w:cs="宋体"/>
          <w:highlight w:val="none"/>
        </w:rPr>
        <w:t>要求，现郑重承诺如下：</w:t>
      </w:r>
    </w:p>
    <w:p w14:paraId="1A780C1E">
      <w:pPr>
        <w:pStyle w:val="51"/>
        <w:keepNext w:val="0"/>
        <w:keepLines w:val="0"/>
        <w:widowControl w:val="0"/>
        <w:kinsoku/>
        <w:overflowPunct/>
        <w:autoSpaceDE/>
        <w:autoSpaceDN/>
        <w:bidi w:val="0"/>
        <w:spacing w:line="520" w:lineRule="exact"/>
        <w:textAlignment w:val="auto"/>
        <w:rPr>
          <w:rFonts w:hint="eastAsia" w:ascii="宋体" w:hAnsi="宋体" w:eastAsia="宋体" w:cs="宋体"/>
          <w:highlight w:val="none"/>
        </w:rPr>
      </w:pPr>
      <w:r>
        <w:rPr>
          <w:rFonts w:hint="eastAsia" w:cs="宋体"/>
          <w:highlight w:val="none"/>
          <w:u w:val="single"/>
          <w:lang w:val="en-US" w:eastAsia="zh-CN"/>
        </w:rPr>
        <w:t xml:space="preserve">        </w:t>
      </w:r>
      <w:r>
        <w:rPr>
          <w:rFonts w:hint="eastAsia" w:cs="宋体"/>
          <w:b w:val="0"/>
          <w:bCs w:val="0"/>
          <w:highlight w:val="none"/>
          <w:lang w:val="en-US" w:eastAsia="zh-CN"/>
        </w:rPr>
        <w:t>(供应商名称)及其现任法定代表人</w:t>
      </w:r>
      <w:r>
        <w:rPr>
          <w:rFonts w:hint="eastAsia" w:cs="宋体"/>
          <w:b w:val="0"/>
          <w:bCs w:val="0"/>
          <w:highlight w:val="none"/>
          <w:u w:val="single"/>
          <w:lang w:val="en-US" w:eastAsia="zh-CN"/>
        </w:rPr>
        <w:t xml:space="preserve">      </w:t>
      </w:r>
      <w:r>
        <w:rPr>
          <w:rFonts w:hint="eastAsia" w:cs="宋体"/>
          <w:b w:val="0"/>
          <w:bCs w:val="0"/>
          <w:highlight w:val="none"/>
          <w:u w:val="none"/>
          <w:lang w:val="en-US" w:eastAsia="zh-CN"/>
        </w:rPr>
        <w:t>(姓名)、</w:t>
      </w:r>
      <w:r>
        <w:rPr>
          <w:rFonts w:hint="eastAsia" w:cs="宋体"/>
          <w:b w:val="0"/>
          <w:bCs w:val="0"/>
          <w:highlight w:val="none"/>
          <w:u w:val="single"/>
          <w:lang w:val="en-US" w:eastAsia="zh-CN"/>
        </w:rPr>
        <w:t xml:space="preserve">     </w:t>
      </w:r>
      <w:r>
        <w:rPr>
          <w:rFonts w:hint="eastAsia" w:cs="宋体"/>
          <w:b w:val="0"/>
          <w:bCs w:val="0"/>
          <w:highlight w:val="none"/>
          <w:u w:val="none"/>
          <w:lang w:val="en-US" w:eastAsia="zh-CN"/>
        </w:rPr>
        <w:t>(身份证号码)，主要负责人</w:t>
      </w:r>
      <w:r>
        <w:rPr>
          <w:rFonts w:hint="eastAsia" w:cs="宋体"/>
          <w:b w:val="0"/>
          <w:bCs w:val="0"/>
          <w:highlight w:val="none"/>
          <w:u w:val="single"/>
          <w:lang w:val="en-US" w:eastAsia="zh-CN"/>
        </w:rPr>
        <w:t xml:space="preserve">       </w:t>
      </w:r>
      <w:r>
        <w:rPr>
          <w:rFonts w:hint="eastAsia" w:cs="宋体"/>
          <w:b w:val="0"/>
          <w:bCs w:val="0"/>
          <w:highlight w:val="none"/>
          <w:u w:val="none"/>
          <w:lang w:val="en-US" w:eastAsia="zh-CN"/>
        </w:rPr>
        <w:t>(姓名)、</w:t>
      </w:r>
      <w:r>
        <w:rPr>
          <w:rFonts w:hint="eastAsia" w:cs="宋体"/>
          <w:b w:val="0"/>
          <w:bCs w:val="0"/>
          <w:highlight w:val="none"/>
          <w:u w:val="single"/>
          <w:lang w:val="en-US" w:eastAsia="zh-CN"/>
        </w:rPr>
        <w:t xml:space="preserve">     </w:t>
      </w:r>
      <w:r>
        <w:rPr>
          <w:rFonts w:hint="eastAsia" w:cs="宋体"/>
          <w:b w:val="0"/>
          <w:bCs w:val="0"/>
          <w:highlight w:val="none"/>
          <w:u w:val="none"/>
          <w:lang w:val="en-US" w:eastAsia="zh-CN"/>
        </w:rPr>
        <w:t>(身份证号码)，</w:t>
      </w:r>
      <w:r>
        <w:rPr>
          <w:rFonts w:hint="eastAsia" w:cs="宋体"/>
          <w:b w:val="0"/>
          <w:bCs w:val="0"/>
          <w:highlight w:val="none"/>
          <w:u w:val="single"/>
          <w:lang w:val="en-US" w:eastAsia="zh-CN"/>
        </w:rPr>
        <w:t xml:space="preserve">    </w:t>
      </w:r>
      <w:r>
        <w:rPr>
          <w:rFonts w:hint="eastAsia" w:cs="宋体"/>
          <w:highlight w:val="none"/>
          <w:u w:val="none"/>
          <w:lang w:val="en-US" w:eastAsia="zh-CN"/>
        </w:rPr>
        <w:t xml:space="preserve">(无行贿犯罪记录的期限)均无行贿犯罪记录。     </w:t>
      </w:r>
      <w:r>
        <w:rPr>
          <w:rFonts w:hint="eastAsia" w:ascii="宋体" w:hAnsi="宋体" w:eastAsia="宋体" w:cs="宋体"/>
          <w:highlight w:val="none"/>
        </w:rPr>
        <w:t>本</w:t>
      </w:r>
      <w:r>
        <w:rPr>
          <w:rFonts w:hint="eastAsia" w:cs="宋体"/>
          <w:highlight w:val="none"/>
          <w:lang w:val="en-US" w:eastAsia="zh-CN"/>
        </w:rPr>
        <w:t>单位</w:t>
      </w:r>
      <w:r>
        <w:rPr>
          <w:rFonts w:hint="eastAsia" w:ascii="宋体" w:hAnsi="宋体" w:eastAsia="宋体" w:cs="宋体"/>
          <w:highlight w:val="none"/>
        </w:rPr>
        <w:t>对上述承诺的内容事项真实性</w:t>
      </w:r>
      <w:r>
        <w:rPr>
          <w:rFonts w:hint="eastAsia" w:ascii="宋体" w:hAnsi="宋体" w:eastAsia="宋体" w:cs="宋体"/>
          <w:highlight w:val="none"/>
          <w:lang w:eastAsia="zh-CN"/>
        </w:rPr>
        <w:t>、</w:t>
      </w:r>
      <w:r>
        <w:rPr>
          <w:rFonts w:hint="eastAsia" w:ascii="宋体" w:hAnsi="宋体" w:eastAsia="宋体" w:cs="宋体"/>
          <w:highlight w:val="none"/>
        </w:rPr>
        <w:t>合法</w:t>
      </w:r>
      <w:r>
        <w:rPr>
          <w:rFonts w:hint="eastAsia" w:ascii="宋体" w:hAnsi="宋体" w:eastAsia="宋体" w:cs="宋体"/>
          <w:highlight w:val="none"/>
          <w:lang w:val="en-US" w:eastAsia="zh-CN"/>
        </w:rPr>
        <w:t>性</w:t>
      </w:r>
      <w:r>
        <w:rPr>
          <w:rFonts w:hint="eastAsia" w:ascii="宋体" w:hAnsi="宋体" w:eastAsia="宋体" w:cs="宋体"/>
          <w:highlight w:val="none"/>
        </w:rPr>
        <w:t>负责。如经查实上述承诺的内容事项存在虚假，我</w:t>
      </w:r>
      <w:r>
        <w:rPr>
          <w:rFonts w:hint="eastAsia" w:cs="宋体"/>
          <w:highlight w:val="none"/>
          <w:lang w:val="en-US" w:eastAsia="zh-CN"/>
        </w:rPr>
        <w:t>单位</w:t>
      </w:r>
      <w:r>
        <w:rPr>
          <w:rFonts w:hint="eastAsia" w:ascii="宋体" w:hAnsi="宋体" w:eastAsia="宋体" w:cs="宋体"/>
          <w:highlight w:val="none"/>
          <w:lang w:val="en-US" w:eastAsia="zh-CN"/>
        </w:rPr>
        <w:t>自愿</w:t>
      </w:r>
      <w:r>
        <w:rPr>
          <w:rFonts w:hint="eastAsia" w:ascii="宋体" w:hAnsi="宋体" w:eastAsia="宋体" w:cs="宋体"/>
          <w:highlight w:val="none"/>
        </w:rPr>
        <w:t>接受以提供虚假材料谋取</w:t>
      </w:r>
      <w:r>
        <w:rPr>
          <w:rFonts w:hint="eastAsia" w:ascii="宋体" w:hAnsi="宋体" w:eastAsia="宋体" w:cs="宋体"/>
          <w:highlight w:val="none"/>
          <w:lang w:val="en-US" w:eastAsia="zh-CN"/>
        </w:rPr>
        <w:t>成交所带来的所有</w:t>
      </w:r>
      <w:r>
        <w:rPr>
          <w:rFonts w:hint="eastAsia" w:ascii="宋体" w:hAnsi="宋体" w:eastAsia="宋体" w:cs="宋体"/>
          <w:highlight w:val="none"/>
        </w:rPr>
        <w:t>法律责任。</w:t>
      </w:r>
    </w:p>
    <w:p w14:paraId="0DDF42E5">
      <w:pPr>
        <w:pStyle w:val="48"/>
        <w:keepNext w:val="0"/>
        <w:keepLines w:val="0"/>
        <w:widowControl w:val="0"/>
        <w:kinsoku/>
        <w:overflowPunct/>
        <w:autoSpaceDE/>
        <w:autoSpaceDN/>
        <w:bidi w:val="0"/>
        <w:spacing w:line="520" w:lineRule="exact"/>
        <w:textAlignment w:val="auto"/>
        <w:rPr>
          <w:rFonts w:hint="eastAsia" w:ascii="宋体" w:hAnsi="宋体" w:eastAsia="宋体" w:cs="宋体"/>
          <w:highlight w:val="none"/>
          <w:lang w:val="en-US" w:eastAsia="zh-CN"/>
        </w:rPr>
      </w:pPr>
    </w:p>
    <w:p w14:paraId="26D1AC7D">
      <w:pPr>
        <w:pStyle w:val="48"/>
        <w:keepNext w:val="0"/>
        <w:keepLines w:val="0"/>
        <w:widowControl w:val="0"/>
        <w:kinsoku/>
        <w:overflowPunct/>
        <w:autoSpaceDE/>
        <w:autoSpaceDN/>
        <w:bidi w:val="0"/>
        <w:spacing w:line="520" w:lineRule="exact"/>
        <w:textAlignment w:val="auto"/>
        <w:rPr>
          <w:rFonts w:hint="eastAsia" w:ascii="宋体" w:hAnsi="宋体" w:eastAsia="宋体" w:cs="宋体"/>
          <w:highlight w:val="none"/>
          <w:lang w:val="en-US" w:eastAsia="zh-CN"/>
        </w:rPr>
      </w:pPr>
    </w:p>
    <w:p w14:paraId="3610FF4D">
      <w:pPr>
        <w:pStyle w:val="51"/>
        <w:keepNext w:val="0"/>
        <w:keepLines w:val="0"/>
        <w:widowControl w:val="0"/>
        <w:kinsoku/>
        <w:overflowPunct/>
        <w:autoSpaceDE/>
        <w:autoSpaceDN/>
        <w:bidi w:val="0"/>
        <w:spacing w:line="520" w:lineRule="exact"/>
        <w:textAlignment w:val="auto"/>
        <w:rPr>
          <w:rFonts w:hint="eastAsia" w:ascii="宋体" w:hAnsi="宋体" w:eastAsia="宋体" w:cs="宋体"/>
          <w:highlight w:val="none"/>
        </w:rPr>
      </w:pPr>
      <w:r>
        <w:rPr>
          <w:rFonts w:hint="eastAsia" w:ascii="宋体" w:hAnsi="宋体" w:eastAsia="宋体" w:cs="宋体"/>
          <w:highlight w:val="none"/>
          <w:lang w:val="en-US" w:eastAsia="zh-CN"/>
        </w:rPr>
        <w:t>供应商</w:t>
      </w:r>
      <w:r>
        <w:rPr>
          <w:rFonts w:hint="eastAsia" w:ascii="宋体" w:hAnsi="宋体" w:eastAsia="宋体" w:cs="宋体"/>
          <w:highlight w:val="none"/>
        </w:rPr>
        <w:t>名称：</w:t>
      </w:r>
      <w:r>
        <w:rPr>
          <w:rFonts w:hint="eastAsia" w:ascii="宋体" w:hAnsi="宋体" w:eastAsia="宋体" w:cs="宋体"/>
          <w:highlight w:val="none"/>
          <w:u w:val="single"/>
        </w:rPr>
        <w:t xml:space="preserve"> </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u w:val="single"/>
        </w:rPr>
        <w:t xml:space="preserve">       </w:t>
      </w:r>
      <w:r>
        <w:rPr>
          <w:rFonts w:hint="eastAsia" w:ascii="宋体" w:hAnsi="宋体" w:eastAsia="宋体" w:cs="宋体"/>
          <w:highlight w:val="none"/>
        </w:rPr>
        <w:t>(盖章)</w:t>
      </w:r>
    </w:p>
    <w:p w14:paraId="782DC677">
      <w:pPr>
        <w:pStyle w:val="51"/>
        <w:keepNext w:val="0"/>
        <w:keepLines w:val="0"/>
        <w:widowControl w:val="0"/>
        <w:kinsoku/>
        <w:overflowPunct/>
        <w:autoSpaceDE/>
        <w:autoSpaceDN/>
        <w:bidi w:val="0"/>
        <w:spacing w:line="520" w:lineRule="exact"/>
        <w:textAlignment w:val="auto"/>
        <w:rPr>
          <w:rFonts w:hint="eastAsia" w:ascii="宋体" w:hAnsi="宋体" w:eastAsia="宋体" w:cs="宋体"/>
          <w:highlight w:val="none"/>
        </w:rPr>
      </w:pPr>
      <w:r>
        <w:rPr>
          <w:rFonts w:hint="eastAsia" w:ascii="宋体" w:hAnsi="宋体" w:eastAsia="宋体" w:cs="宋体"/>
          <w:highlight w:val="none"/>
          <w:lang w:eastAsia="zh-CN"/>
        </w:rPr>
        <w:t>法定代表人/单位负责人或授权代表</w:t>
      </w:r>
      <w:r>
        <w:rPr>
          <w:rFonts w:hint="eastAsia" w:ascii="宋体" w:hAnsi="宋体" w:eastAsia="宋体" w:cs="宋体"/>
          <w:highlight w:val="none"/>
        </w:rPr>
        <w:t>：</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rPr>
        <w:t>(签字</w:t>
      </w:r>
      <w:r>
        <w:rPr>
          <w:rFonts w:hint="eastAsia" w:ascii="宋体" w:hAnsi="宋体" w:eastAsia="宋体" w:cs="宋体"/>
          <w:highlight w:val="none"/>
          <w:lang w:eastAsia="zh-CN"/>
        </w:rPr>
        <w:t>或盖章</w:t>
      </w:r>
      <w:r>
        <w:rPr>
          <w:rFonts w:hint="eastAsia" w:ascii="宋体" w:hAnsi="宋体" w:eastAsia="宋体" w:cs="宋体"/>
          <w:highlight w:val="none"/>
        </w:rPr>
        <w:t>)</w:t>
      </w:r>
    </w:p>
    <w:p w14:paraId="3C022A93">
      <w:pPr>
        <w:pStyle w:val="51"/>
        <w:keepNext w:val="0"/>
        <w:keepLines w:val="0"/>
        <w:widowControl w:val="0"/>
        <w:kinsoku/>
        <w:overflowPunct/>
        <w:autoSpaceDE/>
        <w:autoSpaceDN/>
        <w:bidi w:val="0"/>
        <w:spacing w:line="520" w:lineRule="exact"/>
        <w:textAlignment w:val="auto"/>
        <w:rPr>
          <w:rFonts w:hint="eastAsia" w:ascii="宋体" w:hAnsi="宋体" w:eastAsia="宋体" w:cs="宋体"/>
          <w:highlight w:val="none"/>
        </w:rPr>
      </w:pPr>
      <w:r>
        <w:rPr>
          <w:rFonts w:hint="eastAsia" w:ascii="宋体" w:hAnsi="宋体" w:eastAsia="宋体" w:cs="宋体"/>
          <w:highlight w:val="none"/>
          <w:lang w:val="en-US" w:eastAsia="zh-CN"/>
        </w:rPr>
        <w:t>磋商</w:t>
      </w:r>
      <w:r>
        <w:rPr>
          <w:rFonts w:hint="eastAsia" w:ascii="宋体" w:hAnsi="宋体" w:eastAsia="宋体" w:cs="宋体"/>
          <w:highlight w:val="none"/>
        </w:rPr>
        <w:t>日期</w:t>
      </w:r>
      <w:r>
        <w:rPr>
          <w:rFonts w:hint="eastAsia" w:ascii="宋体" w:hAnsi="宋体" w:eastAsia="宋体" w:cs="宋体"/>
          <w:highlight w:val="none"/>
          <w:lang w:eastAsia="zh-CN"/>
        </w:rPr>
        <w:t>：</w:t>
      </w:r>
      <w:r>
        <w:rPr>
          <w:rFonts w:hint="eastAsia" w:ascii="宋体" w:hAnsi="宋体" w:eastAsia="宋体" w:cs="宋体"/>
          <w:highlight w:val="none"/>
          <w:u w:val="single"/>
          <w:lang w:val="en-US" w:eastAsia="zh-CN"/>
        </w:rPr>
        <w:t xml:space="preserve">                </w:t>
      </w:r>
      <w:r>
        <w:rPr>
          <w:rFonts w:hint="eastAsia" w:ascii="宋体" w:hAnsi="宋体" w:eastAsia="宋体" w:cs="宋体"/>
          <w:highlight w:val="none"/>
          <w:lang w:val="en-US" w:eastAsia="zh-CN"/>
        </w:rPr>
        <w:t xml:space="preserve">  </w:t>
      </w:r>
    </w:p>
    <w:p w14:paraId="08480FF4">
      <w:pPr>
        <w:pStyle w:val="69"/>
        <w:keepNext w:val="0"/>
        <w:keepLines w:val="0"/>
        <w:pageBreakBefore w:val="0"/>
        <w:widowControl w:val="0"/>
        <w:numPr>
          <w:ilvl w:val="3"/>
          <w:numId w:val="0"/>
        </w:numPr>
        <w:kinsoku/>
        <w:wordWrap w:val="0"/>
        <w:overflowPunct/>
        <w:topLinePunct/>
        <w:autoSpaceDE/>
        <w:autoSpaceDN/>
        <w:bidi w:val="0"/>
        <w:adjustRightInd w:val="0"/>
        <w:snapToGrid w:val="0"/>
        <w:spacing w:line="520" w:lineRule="exact"/>
        <w:ind w:leftChars="0" w:firstLine="482" w:firstLineChars="200"/>
        <w:jc w:val="both"/>
        <w:textAlignment w:val="auto"/>
        <w:rPr>
          <w:rFonts w:hint="eastAsia"/>
          <w:b/>
          <w:bCs/>
          <w:highlight w:val="none"/>
          <w:lang w:val="en-US" w:eastAsia="zh-CN"/>
        </w:rPr>
      </w:pPr>
    </w:p>
    <w:p w14:paraId="28AD8C1E">
      <w:pPr>
        <w:pStyle w:val="69"/>
        <w:keepNext w:val="0"/>
        <w:keepLines w:val="0"/>
        <w:pageBreakBefore w:val="0"/>
        <w:widowControl w:val="0"/>
        <w:numPr>
          <w:ilvl w:val="3"/>
          <w:numId w:val="0"/>
        </w:numPr>
        <w:kinsoku/>
        <w:wordWrap w:val="0"/>
        <w:overflowPunct/>
        <w:topLinePunct/>
        <w:autoSpaceDE/>
        <w:autoSpaceDN/>
        <w:bidi w:val="0"/>
        <w:adjustRightInd w:val="0"/>
        <w:snapToGrid w:val="0"/>
        <w:spacing w:line="520" w:lineRule="exact"/>
        <w:ind w:leftChars="0" w:firstLine="482" w:firstLineChars="200"/>
        <w:textAlignment w:val="auto"/>
        <w:rPr>
          <w:rFonts w:hint="default"/>
          <w:b/>
          <w:bCs/>
          <w:lang w:val="en-US" w:eastAsia="zh-CN"/>
        </w:rPr>
      </w:pPr>
      <w:r>
        <w:rPr>
          <w:rFonts w:hint="eastAsia"/>
          <w:b/>
          <w:bCs/>
          <w:highlight w:val="none"/>
          <w:lang w:val="en-US" w:eastAsia="zh-CN"/>
        </w:rPr>
        <w:t>注：供应商成立时间超过十年的，在“</w:t>
      </w:r>
      <w:r>
        <w:rPr>
          <w:rFonts w:hint="eastAsia" w:cs="宋体"/>
          <w:b/>
          <w:bCs/>
          <w:highlight w:val="none"/>
          <w:u w:val="none"/>
          <w:lang w:val="en-US" w:eastAsia="zh-CN"/>
        </w:rPr>
        <w:t>无行贿犯罪记录的期限</w:t>
      </w:r>
      <w:r>
        <w:rPr>
          <w:rFonts w:hint="eastAsia"/>
          <w:b/>
          <w:bCs/>
          <w:highlight w:val="none"/>
          <w:lang w:val="en-US" w:eastAsia="zh-CN"/>
        </w:rPr>
        <w:t>”</w:t>
      </w:r>
      <w:r>
        <w:rPr>
          <w:rFonts w:hint="eastAsia" w:cs="宋体"/>
          <w:b/>
          <w:bCs/>
          <w:highlight w:val="none"/>
          <w:u w:val="none"/>
          <w:lang w:val="en-US" w:eastAsia="zh-CN"/>
        </w:rPr>
        <w:t>处填写“十年内”；</w:t>
      </w:r>
      <w:r>
        <w:rPr>
          <w:rFonts w:hint="eastAsia"/>
          <w:b/>
          <w:bCs/>
          <w:highlight w:val="none"/>
          <w:lang w:val="en-US" w:eastAsia="zh-CN"/>
        </w:rPr>
        <w:t>供应商</w:t>
      </w:r>
      <w:r>
        <w:rPr>
          <w:rFonts w:hint="eastAsia" w:cs="宋体"/>
          <w:b/>
          <w:bCs/>
          <w:highlight w:val="none"/>
          <w:u w:val="none"/>
          <w:lang w:val="en-US" w:eastAsia="zh-CN"/>
        </w:rPr>
        <w:t>成立时间不足十年的，</w:t>
      </w:r>
      <w:r>
        <w:rPr>
          <w:rFonts w:hint="eastAsia"/>
          <w:b/>
          <w:bCs/>
          <w:highlight w:val="none"/>
          <w:lang w:val="en-US" w:eastAsia="zh-CN"/>
        </w:rPr>
        <w:t>在“</w:t>
      </w:r>
      <w:r>
        <w:rPr>
          <w:rFonts w:hint="eastAsia" w:cs="宋体"/>
          <w:b/>
          <w:bCs/>
          <w:highlight w:val="none"/>
          <w:u w:val="none"/>
          <w:lang w:val="en-US" w:eastAsia="zh-CN"/>
        </w:rPr>
        <w:t>无行贿犯罪记录的期限</w:t>
      </w:r>
      <w:r>
        <w:rPr>
          <w:rFonts w:hint="eastAsia"/>
          <w:b/>
          <w:bCs/>
          <w:highlight w:val="none"/>
          <w:lang w:val="en-US" w:eastAsia="zh-CN"/>
        </w:rPr>
        <w:t>”</w:t>
      </w:r>
      <w:r>
        <w:rPr>
          <w:rFonts w:hint="eastAsia" w:cs="宋体"/>
          <w:b/>
          <w:bCs/>
          <w:highlight w:val="none"/>
          <w:u w:val="none"/>
          <w:lang w:val="en-US" w:eastAsia="zh-CN"/>
        </w:rPr>
        <w:t>处填写“自我单位成立之日起至今”</w:t>
      </w:r>
      <w:r>
        <w:rPr>
          <w:rFonts w:hint="eastAsia"/>
          <w:b/>
          <w:bCs/>
          <w:highlight w:val="none"/>
          <w:lang w:val="en-US" w:eastAsia="zh-CN"/>
        </w:rPr>
        <w:t>。</w:t>
      </w:r>
    </w:p>
    <w:p w14:paraId="2C20844E">
      <w:pPr>
        <w:pStyle w:val="48"/>
        <w:keepNext w:val="0"/>
        <w:keepLines w:val="0"/>
        <w:widowControl w:val="0"/>
        <w:kinsoku/>
        <w:overflowPunct/>
        <w:autoSpaceDE/>
        <w:autoSpaceDN/>
        <w:bidi w:val="0"/>
        <w:spacing w:line="520" w:lineRule="exact"/>
        <w:textAlignment w:val="auto"/>
        <w:rPr>
          <w:rFonts w:hint="eastAsia"/>
          <w:lang w:val="zh-CN" w:eastAsia="zh-CN"/>
        </w:rPr>
      </w:pPr>
    </w:p>
    <w:p w14:paraId="68853D39">
      <w:pPr>
        <w:pStyle w:val="48"/>
        <w:keepNext w:val="0"/>
        <w:keepLines w:val="0"/>
        <w:widowControl w:val="0"/>
        <w:kinsoku/>
        <w:overflowPunct/>
        <w:autoSpaceDE/>
        <w:autoSpaceDN/>
        <w:bidi w:val="0"/>
        <w:spacing w:line="520" w:lineRule="exact"/>
        <w:textAlignment w:val="auto"/>
        <w:rPr>
          <w:rFonts w:hint="eastAsia"/>
          <w:lang w:eastAsia="zh-CN"/>
        </w:rPr>
      </w:pPr>
      <w:r>
        <w:rPr>
          <w:rFonts w:hint="eastAsia"/>
          <w:lang w:val="en-US" w:eastAsia="zh-CN"/>
        </w:rPr>
        <w:br w:type="page"/>
      </w:r>
      <w:bookmarkEnd w:id="334"/>
      <w:bookmarkStart w:id="335" w:name="_Toc2151"/>
    </w:p>
    <w:bookmarkEnd w:id="335"/>
    <w:p w14:paraId="33967AAF">
      <w:pPr>
        <w:pStyle w:val="49"/>
        <w:keepNext w:val="0"/>
        <w:keepLines w:val="0"/>
        <w:widowControl w:val="0"/>
        <w:numPr>
          <w:ilvl w:val="0"/>
          <w:numId w:val="13"/>
        </w:numPr>
        <w:kinsoku/>
        <w:overflowPunct/>
        <w:autoSpaceDE/>
        <w:autoSpaceDN/>
        <w:bidi w:val="0"/>
        <w:spacing w:line="520" w:lineRule="exact"/>
        <w:ind w:left="0" w:leftChars="0" w:firstLine="0" w:firstLineChars="0"/>
        <w:textAlignment w:val="auto"/>
        <w:rPr>
          <w:rFonts w:hint="eastAsia"/>
          <w:spacing w:val="-6"/>
          <w:lang w:val="en-US" w:eastAsia="zh-CN"/>
        </w:rPr>
      </w:pPr>
      <w:bookmarkStart w:id="336" w:name="_Toc15054"/>
      <w:bookmarkStart w:id="337" w:name="_Toc4865"/>
      <w:bookmarkStart w:id="338" w:name="_Toc21299"/>
      <w:bookmarkStart w:id="339" w:name="_Toc19166"/>
      <w:bookmarkStart w:id="340" w:name="_Toc10251"/>
      <w:bookmarkStart w:id="341" w:name="_Toc20743"/>
      <w:r>
        <w:rPr>
          <w:rFonts w:hint="eastAsia"/>
          <w:spacing w:val="-6"/>
          <w:lang w:val="en-US" w:eastAsia="zh-CN"/>
        </w:rPr>
        <w:t>根据采购项目的特殊要求，规定供应商提供的特定条件</w:t>
      </w:r>
      <w:bookmarkEnd w:id="336"/>
      <w:r>
        <w:rPr>
          <w:rFonts w:hint="eastAsia"/>
          <w:spacing w:val="-6"/>
          <w:lang w:val="en-US" w:eastAsia="zh-CN"/>
        </w:rPr>
        <w:t>的证明材料</w:t>
      </w:r>
      <w:bookmarkEnd w:id="337"/>
      <w:bookmarkEnd w:id="338"/>
      <w:bookmarkEnd w:id="339"/>
      <w:bookmarkEnd w:id="340"/>
      <w:bookmarkEnd w:id="341"/>
    </w:p>
    <w:p w14:paraId="147AB134">
      <w:pPr>
        <w:pStyle w:val="51"/>
        <w:keepNext w:val="0"/>
        <w:keepLines w:val="0"/>
        <w:widowControl w:val="0"/>
        <w:kinsoku/>
        <w:overflowPunct/>
        <w:autoSpaceDE/>
        <w:autoSpaceDN/>
        <w:bidi w:val="0"/>
        <w:spacing w:line="520" w:lineRule="exact"/>
        <w:textAlignment w:val="auto"/>
        <w:rPr>
          <w:rFonts w:hint="eastAsia"/>
          <w:color w:val="auto"/>
          <w:highlight w:val="none"/>
          <w:lang w:val="en-US" w:eastAsia="zh-CN"/>
        </w:rPr>
      </w:pPr>
      <w:r>
        <w:rPr>
          <w:rFonts w:hint="eastAsia"/>
          <w:color w:val="auto"/>
          <w:highlight w:val="none"/>
          <w:lang w:val="en-US" w:eastAsia="zh-CN"/>
        </w:rPr>
        <w:t>提供未与其他供应商组成联合体参与本次采购活动的承诺函。</w:t>
      </w:r>
    </w:p>
    <w:p w14:paraId="26E2FDC2">
      <w:pPr>
        <w:pStyle w:val="51"/>
        <w:keepNext w:val="0"/>
        <w:keepLines w:val="0"/>
        <w:widowControl w:val="0"/>
        <w:kinsoku/>
        <w:overflowPunct/>
        <w:autoSpaceDE/>
        <w:autoSpaceDN/>
        <w:bidi w:val="0"/>
        <w:spacing w:line="520" w:lineRule="exact"/>
        <w:textAlignment w:val="auto"/>
        <w:rPr>
          <w:rFonts w:hint="eastAsia"/>
          <w:b/>
          <w:bCs/>
          <w:color w:val="auto"/>
          <w:highlight w:val="none"/>
          <w:lang w:val="en-US" w:eastAsia="zh-CN"/>
        </w:rPr>
      </w:pPr>
      <w:r>
        <w:rPr>
          <w:rFonts w:hint="eastAsia" w:cs="宋体" w:asciiTheme="minorEastAsia" w:hAnsiTheme="minorEastAsia" w:eastAsiaTheme="minorEastAsia"/>
          <w:b/>
          <w:bCs/>
          <w:color w:val="auto"/>
          <w:highlight w:val="none"/>
        </w:rPr>
        <w:t>注：</w:t>
      </w:r>
      <w:r>
        <w:rPr>
          <w:rFonts w:hint="eastAsia" w:cs="宋体" w:asciiTheme="minorEastAsia" w:hAnsiTheme="minorEastAsia" w:eastAsiaTheme="minorEastAsia"/>
          <w:b/>
          <w:bCs/>
          <w:color w:val="auto"/>
          <w:highlight w:val="none"/>
          <w:lang w:val="en-US" w:eastAsia="zh-CN"/>
        </w:rPr>
        <w:t>承诺函</w:t>
      </w:r>
      <w:r>
        <w:rPr>
          <w:rFonts w:hint="eastAsia"/>
          <w:b/>
          <w:bCs w:val="0"/>
          <w:color w:val="auto"/>
          <w:highlight w:val="none"/>
        </w:rPr>
        <w:t>格式自拟，或参照《承诺及声明函》的格式提供</w:t>
      </w:r>
      <w:r>
        <w:rPr>
          <w:rFonts w:hint="eastAsia" w:cs="宋体" w:asciiTheme="minorEastAsia" w:hAnsiTheme="minorEastAsia" w:eastAsiaTheme="minorEastAsia"/>
          <w:b/>
          <w:bCs/>
          <w:color w:val="auto"/>
          <w:highlight w:val="none"/>
        </w:rPr>
        <w:t>。</w:t>
      </w:r>
    </w:p>
    <w:p w14:paraId="29353584">
      <w:pPr>
        <w:pStyle w:val="51"/>
        <w:keepNext w:val="0"/>
        <w:keepLines w:val="0"/>
        <w:widowControl w:val="0"/>
        <w:kinsoku/>
        <w:wordWrap w:val="0"/>
        <w:overflowPunct/>
        <w:topLinePunct/>
        <w:autoSpaceDE/>
        <w:autoSpaceDN/>
        <w:bidi w:val="0"/>
        <w:adjustRightInd w:val="0"/>
        <w:snapToGrid w:val="0"/>
        <w:spacing w:line="520" w:lineRule="exact"/>
        <w:ind w:left="0" w:leftChars="0" w:firstLine="0" w:firstLineChars="0"/>
        <w:textAlignment w:val="auto"/>
        <w:rPr>
          <w:rFonts w:hint="eastAsia"/>
          <w:color w:val="auto"/>
          <w:highlight w:val="none"/>
          <w:lang w:val="en-US" w:eastAsia="zh-CN"/>
        </w:rPr>
      </w:pPr>
      <w:bookmarkStart w:id="342" w:name="_Toc22492"/>
      <w:bookmarkStart w:id="343" w:name="_Toc21855"/>
      <w:bookmarkStart w:id="344" w:name="_Toc15708"/>
      <w:bookmarkStart w:id="345" w:name="_Toc22568"/>
    </w:p>
    <w:p w14:paraId="6A6439AD">
      <w:pPr>
        <w:pStyle w:val="49"/>
        <w:keepNext w:val="0"/>
        <w:keepLines w:val="0"/>
        <w:widowControl w:val="0"/>
        <w:numPr>
          <w:ilvl w:val="0"/>
          <w:numId w:val="13"/>
        </w:numPr>
        <w:kinsoku/>
        <w:overflowPunct/>
        <w:autoSpaceDE/>
        <w:autoSpaceDN/>
        <w:bidi w:val="0"/>
        <w:spacing w:line="520" w:lineRule="exact"/>
        <w:ind w:left="0" w:leftChars="0" w:firstLine="0" w:firstLineChars="0"/>
        <w:textAlignment w:val="auto"/>
        <w:rPr>
          <w:rFonts w:hint="eastAsia"/>
          <w:b/>
          <w:w w:val="95"/>
          <w:lang w:val="en-US" w:eastAsia="zh-CN"/>
        </w:rPr>
        <w:sectPr>
          <w:pgSz w:w="11906" w:h="16838"/>
          <w:pgMar w:top="1440" w:right="1800" w:bottom="1440" w:left="1800" w:header="851" w:footer="992" w:gutter="0"/>
          <w:pgNumType w:fmt="decimal"/>
          <w:cols w:space="0" w:num="1"/>
          <w:titlePg/>
          <w:docGrid w:linePitch="312" w:charSpace="0"/>
        </w:sectPr>
      </w:pPr>
    </w:p>
    <w:p w14:paraId="5B6A8CEF">
      <w:pPr>
        <w:pStyle w:val="49"/>
        <w:keepNext w:val="0"/>
        <w:keepLines w:val="0"/>
        <w:widowControl w:val="0"/>
        <w:numPr>
          <w:ilvl w:val="0"/>
          <w:numId w:val="13"/>
        </w:numPr>
        <w:kinsoku/>
        <w:overflowPunct/>
        <w:autoSpaceDE/>
        <w:autoSpaceDN/>
        <w:bidi w:val="0"/>
        <w:spacing w:before="120" w:after="120" w:line="520" w:lineRule="exact"/>
        <w:ind w:firstLine="0"/>
        <w:textAlignment w:val="auto"/>
        <w:rPr>
          <w:rFonts w:hint="eastAsia" w:ascii="宋体" w:hAnsi="宋体" w:eastAsia="宋体" w:cs="宋体"/>
          <w:lang w:val="en-US" w:eastAsia="zh-CN"/>
        </w:rPr>
      </w:pPr>
      <w:bookmarkStart w:id="346" w:name="_Toc15171"/>
      <w:r>
        <w:rPr>
          <w:rFonts w:hint="eastAsia" w:ascii="宋体" w:hAnsi="宋体" w:eastAsia="宋体" w:cs="宋体"/>
          <w:lang w:val="en-US" w:eastAsia="zh-CN"/>
        </w:rPr>
        <w:t>承诺及声明函</w:t>
      </w:r>
      <w:bookmarkEnd w:id="342"/>
      <w:bookmarkEnd w:id="343"/>
      <w:bookmarkEnd w:id="344"/>
      <w:bookmarkEnd w:id="345"/>
      <w:bookmarkEnd w:id="346"/>
    </w:p>
    <w:p w14:paraId="4D44E16D">
      <w:pPr>
        <w:pStyle w:val="48"/>
        <w:keepNext w:val="0"/>
        <w:keepLines w:val="0"/>
        <w:widowControl w:val="0"/>
        <w:kinsoku/>
        <w:overflowPunct/>
        <w:autoSpaceDE/>
        <w:autoSpaceDN/>
        <w:bidi w:val="0"/>
        <w:spacing w:line="520" w:lineRule="exact"/>
        <w:textAlignment w:val="auto"/>
        <w:rPr>
          <w:rFonts w:hint="eastAsia"/>
        </w:rPr>
      </w:pPr>
      <w:r>
        <w:rPr>
          <w:rFonts w:hint="eastAsia"/>
          <w:u w:val="single"/>
        </w:rPr>
        <w:t xml:space="preserve">                   </w:t>
      </w:r>
      <w:r>
        <w:rPr>
          <w:rFonts w:hint="eastAsia"/>
          <w:lang w:eastAsia="zh-CN"/>
        </w:rPr>
        <w:t>(</w:t>
      </w:r>
      <w:r>
        <w:rPr>
          <w:rFonts w:hint="eastAsia"/>
        </w:rPr>
        <w:t>采购代理机构名称</w:t>
      </w:r>
      <w:r>
        <w:rPr>
          <w:rFonts w:hint="eastAsia"/>
          <w:lang w:eastAsia="zh-CN"/>
        </w:rPr>
        <w:t>)</w:t>
      </w:r>
      <w:r>
        <w:rPr>
          <w:rFonts w:hint="eastAsia"/>
        </w:rPr>
        <w:t>：</w:t>
      </w:r>
    </w:p>
    <w:p w14:paraId="372D8B8F">
      <w:pPr>
        <w:pStyle w:val="48"/>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rPr>
      </w:pPr>
      <w:r>
        <w:rPr>
          <w:rFonts w:hint="eastAsia"/>
        </w:rPr>
        <w:t>我</w:t>
      </w:r>
      <w:r>
        <w:rPr>
          <w:rFonts w:hint="eastAsia"/>
          <w:lang w:val="en-US" w:eastAsia="zh-CN"/>
        </w:rPr>
        <w:t>单位</w:t>
      </w:r>
      <w:r>
        <w:rPr>
          <w:rFonts w:hint="eastAsia"/>
        </w:rPr>
        <w:t>作为本次采购项目的供应商，根据</w:t>
      </w:r>
      <w:r>
        <w:rPr>
          <w:rFonts w:hint="eastAsia"/>
          <w:lang w:val="en-US" w:eastAsia="zh-CN"/>
        </w:rPr>
        <w:t>磋商</w:t>
      </w:r>
      <w:r>
        <w:rPr>
          <w:rFonts w:hint="eastAsia"/>
          <w:lang w:eastAsia="zh-CN"/>
        </w:rPr>
        <w:t>文件</w:t>
      </w:r>
      <w:r>
        <w:rPr>
          <w:rFonts w:hint="eastAsia"/>
        </w:rPr>
        <w:t>要求，现郑重承诺</w:t>
      </w:r>
      <w:r>
        <w:rPr>
          <w:rFonts w:hint="eastAsia"/>
          <w:lang w:val="en-US" w:eastAsia="zh-CN"/>
        </w:rPr>
        <w:t>及声明</w:t>
      </w:r>
      <w:r>
        <w:rPr>
          <w:rFonts w:hint="eastAsia"/>
        </w:rPr>
        <w:t>如下：</w:t>
      </w:r>
    </w:p>
    <w:p w14:paraId="68BFAE8C">
      <w:pPr>
        <w:pStyle w:val="41"/>
        <w:keepNext w:val="0"/>
        <w:keepLines w:val="0"/>
        <w:widowControl w:val="0"/>
        <w:numPr>
          <w:ilvl w:val="2"/>
          <w:numId w:val="14"/>
        </w:numPr>
        <w:kinsoku/>
        <w:overflowPunct/>
        <w:autoSpaceDE/>
        <w:autoSpaceDN/>
        <w:bidi w:val="0"/>
        <w:spacing w:line="520" w:lineRule="exact"/>
        <w:textAlignment w:val="auto"/>
        <w:rPr>
          <w:rFonts w:hint="eastAsia"/>
        </w:rPr>
      </w:pPr>
      <w:r>
        <w:rPr>
          <w:rFonts w:hint="eastAsia"/>
        </w:rPr>
        <w:t xml:space="preserve">具有良好的商业信誉和健全的财务会计制度； </w:t>
      </w:r>
    </w:p>
    <w:p w14:paraId="255B31AD">
      <w:pPr>
        <w:pStyle w:val="41"/>
        <w:keepNext w:val="0"/>
        <w:keepLines w:val="0"/>
        <w:widowControl w:val="0"/>
        <w:numPr>
          <w:ilvl w:val="2"/>
          <w:numId w:val="14"/>
        </w:numPr>
        <w:kinsoku/>
        <w:overflowPunct/>
        <w:autoSpaceDE/>
        <w:autoSpaceDN/>
        <w:bidi w:val="0"/>
        <w:spacing w:line="520" w:lineRule="exact"/>
        <w:textAlignment w:val="auto"/>
        <w:rPr>
          <w:rFonts w:hint="eastAsia"/>
        </w:rPr>
      </w:pPr>
      <w:r>
        <w:rPr>
          <w:rFonts w:hint="eastAsia"/>
        </w:rPr>
        <w:t xml:space="preserve">具有履行合同所必需的设备和专业技术能力； </w:t>
      </w:r>
    </w:p>
    <w:p w14:paraId="1801B066">
      <w:pPr>
        <w:pStyle w:val="41"/>
        <w:keepNext w:val="0"/>
        <w:keepLines w:val="0"/>
        <w:widowControl w:val="0"/>
        <w:numPr>
          <w:ilvl w:val="2"/>
          <w:numId w:val="14"/>
        </w:numPr>
        <w:kinsoku/>
        <w:overflowPunct/>
        <w:autoSpaceDE/>
        <w:autoSpaceDN/>
        <w:bidi w:val="0"/>
        <w:spacing w:line="520" w:lineRule="exact"/>
        <w:textAlignment w:val="auto"/>
        <w:rPr>
          <w:rFonts w:hint="eastAsia"/>
        </w:rPr>
      </w:pPr>
      <w:r>
        <w:rPr>
          <w:rFonts w:hint="eastAsia"/>
        </w:rPr>
        <w:t xml:space="preserve">有依法缴纳税收和社会保障资金的良好记录； </w:t>
      </w:r>
    </w:p>
    <w:p w14:paraId="1477DE3F">
      <w:pPr>
        <w:pStyle w:val="41"/>
        <w:keepNext w:val="0"/>
        <w:keepLines w:val="0"/>
        <w:widowControl w:val="0"/>
        <w:numPr>
          <w:ilvl w:val="2"/>
          <w:numId w:val="14"/>
        </w:numPr>
        <w:kinsoku/>
        <w:overflowPunct/>
        <w:autoSpaceDE/>
        <w:autoSpaceDN/>
        <w:bidi w:val="0"/>
        <w:spacing w:line="520" w:lineRule="exact"/>
        <w:textAlignment w:val="auto"/>
        <w:rPr>
          <w:rFonts w:hint="eastAsia"/>
        </w:rPr>
      </w:pPr>
      <w:r>
        <w:rPr>
          <w:rFonts w:hint="eastAsia"/>
        </w:rPr>
        <w:t>参加本次采购活动前三年内，在经营活动中没有重大违法记录(供应商成立不足三年的，从成立之日起计算)；</w:t>
      </w:r>
    </w:p>
    <w:p w14:paraId="4D7BD6D8">
      <w:pPr>
        <w:pStyle w:val="41"/>
        <w:keepNext w:val="0"/>
        <w:keepLines w:val="0"/>
        <w:widowControl w:val="0"/>
        <w:numPr>
          <w:ilvl w:val="2"/>
          <w:numId w:val="14"/>
        </w:numPr>
        <w:kinsoku/>
        <w:overflowPunct/>
        <w:autoSpaceDE/>
        <w:autoSpaceDN/>
        <w:bidi w:val="0"/>
        <w:spacing w:line="520" w:lineRule="exact"/>
        <w:textAlignment w:val="auto"/>
        <w:rPr>
          <w:rFonts w:hint="eastAsia"/>
        </w:rPr>
      </w:pPr>
      <w:r>
        <w:rPr>
          <w:rFonts w:hint="eastAsia"/>
          <w:lang w:val="en-US" w:eastAsia="zh-CN"/>
        </w:rPr>
        <w:t>符合</w:t>
      </w:r>
      <w:r>
        <w:rPr>
          <w:rFonts w:hint="eastAsia"/>
        </w:rPr>
        <w:t>法律、行政法规规定的其他条件</w:t>
      </w:r>
      <w:r>
        <w:rPr>
          <w:rFonts w:hint="eastAsia"/>
          <w:lang w:eastAsia="zh-CN"/>
        </w:rPr>
        <w:t>；</w:t>
      </w:r>
    </w:p>
    <w:p w14:paraId="3CBECD25">
      <w:pPr>
        <w:pStyle w:val="41"/>
        <w:keepNext w:val="0"/>
        <w:keepLines w:val="0"/>
        <w:widowControl w:val="0"/>
        <w:numPr>
          <w:ilvl w:val="2"/>
          <w:numId w:val="14"/>
        </w:numPr>
        <w:kinsoku/>
        <w:overflowPunct/>
        <w:autoSpaceDE/>
        <w:autoSpaceDN/>
        <w:bidi w:val="0"/>
        <w:spacing w:line="520" w:lineRule="exact"/>
        <w:textAlignment w:val="auto"/>
        <w:rPr>
          <w:rFonts w:hint="eastAsia"/>
          <w:color w:val="auto"/>
          <w:highlight w:val="none"/>
        </w:rPr>
      </w:pPr>
      <w:r>
        <w:rPr>
          <w:rFonts w:hint="eastAsia"/>
          <w:color w:val="auto"/>
          <w:highlight w:val="none"/>
          <w:lang w:val="en-US" w:eastAsia="zh-CN"/>
        </w:rPr>
        <w:t>未与其他供应商组成联合体参与本次采购活动。</w:t>
      </w:r>
    </w:p>
    <w:p w14:paraId="4F87C504">
      <w:pPr>
        <w:pStyle w:val="51"/>
        <w:keepNext w:val="0"/>
        <w:keepLines w:val="0"/>
        <w:widowControl w:val="0"/>
        <w:kinsoku/>
        <w:overflowPunct/>
        <w:autoSpaceDE/>
        <w:autoSpaceDN/>
        <w:bidi w:val="0"/>
        <w:spacing w:line="520" w:lineRule="exact"/>
        <w:textAlignment w:val="auto"/>
        <w:rPr>
          <w:rFonts w:hint="eastAsia"/>
        </w:rPr>
      </w:pPr>
      <w:r>
        <w:rPr>
          <w:rFonts w:hint="eastAsia"/>
        </w:rPr>
        <w:t>本</w:t>
      </w:r>
      <w:r>
        <w:rPr>
          <w:rFonts w:hint="eastAsia"/>
          <w:lang w:val="en-US" w:eastAsia="zh-CN"/>
        </w:rPr>
        <w:t>单位</w:t>
      </w:r>
      <w:r>
        <w:rPr>
          <w:rFonts w:hint="eastAsia"/>
        </w:rPr>
        <w:t>对上述承诺的内容事项真实性</w:t>
      </w:r>
      <w:r>
        <w:rPr>
          <w:rFonts w:hint="eastAsia"/>
          <w:lang w:eastAsia="zh-CN"/>
        </w:rPr>
        <w:t>、</w:t>
      </w:r>
      <w:r>
        <w:rPr>
          <w:rFonts w:hint="eastAsia"/>
        </w:rPr>
        <w:t>合法</w:t>
      </w:r>
      <w:r>
        <w:rPr>
          <w:rFonts w:hint="eastAsia"/>
          <w:lang w:val="en-US" w:eastAsia="zh-CN"/>
        </w:rPr>
        <w:t>性</w:t>
      </w:r>
      <w:r>
        <w:rPr>
          <w:rFonts w:hint="eastAsia"/>
        </w:rPr>
        <w:t>负责。如经查实上述承诺的内容事项存在虚假，我</w:t>
      </w:r>
      <w:r>
        <w:rPr>
          <w:rFonts w:hint="eastAsia"/>
          <w:lang w:val="en-US" w:eastAsia="zh-CN"/>
        </w:rPr>
        <w:t>单位自愿</w:t>
      </w:r>
      <w:r>
        <w:rPr>
          <w:rFonts w:hint="eastAsia"/>
        </w:rPr>
        <w:t>接受以提供虚假材料谋取</w:t>
      </w:r>
      <w:r>
        <w:rPr>
          <w:rFonts w:hint="eastAsia"/>
          <w:lang w:val="en-US" w:eastAsia="zh-CN"/>
        </w:rPr>
        <w:t>成交所带来的所有</w:t>
      </w:r>
      <w:r>
        <w:rPr>
          <w:rFonts w:hint="eastAsia"/>
        </w:rPr>
        <w:t>法律责任。</w:t>
      </w:r>
    </w:p>
    <w:p w14:paraId="30C1AB20">
      <w:pPr>
        <w:pStyle w:val="48"/>
        <w:keepNext w:val="0"/>
        <w:keepLines w:val="0"/>
        <w:widowControl w:val="0"/>
        <w:kinsoku/>
        <w:overflowPunct/>
        <w:autoSpaceDE/>
        <w:autoSpaceDN/>
        <w:bidi w:val="0"/>
        <w:spacing w:line="520" w:lineRule="exact"/>
        <w:textAlignment w:val="auto"/>
        <w:rPr>
          <w:rFonts w:hint="eastAsia"/>
          <w:lang w:val="en-US" w:eastAsia="zh-CN"/>
        </w:rPr>
      </w:pPr>
    </w:p>
    <w:p w14:paraId="53556951">
      <w:pPr>
        <w:pStyle w:val="48"/>
        <w:keepNext w:val="0"/>
        <w:keepLines w:val="0"/>
        <w:widowControl w:val="0"/>
        <w:kinsoku/>
        <w:overflowPunct/>
        <w:autoSpaceDE/>
        <w:autoSpaceDN/>
        <w:bidi w:val="0"/>
        <w:spacing w:line="520" w:lineRule="exact"/>
        <w:textAlignment w:val="auto"/>
        <w:rPr>
          <w:rFonts w:hint="eastAsia"/>
          <w:lang w:val="en-US" w:eastAsia="zh-CN"/>
        </w:rPr>
      </w:pPr>
    </w:p>
    <w:p w14:paraId="649A6CDD">
      <w:pPr>
        <w:pStyle w:val="51"/>
        <w:keepNext w:val="0"/>
        <w:keepLines w:val="0"/>
        <w:widowControl w:val="0"/>
        <w:kinsoku/>
        <w:overflowPunct/>
        <w:autoSpaceDE/>
        <w:autoSpaceDN/>
        <w:bidi w:val="0"/>
        <w:spacing w:line="520" w:lineRule="exact"/>
        <w:textAlignment w:val="auto"/>
        <w:rPr>
          <w:rFonts w:hint="eastAsia"/>
        </w:rPr>
      </w:pPr>
      <w:r>
        <w:rPr>
          <w:rFonts w:hint="eastAsia"/>
          <w:lang w:val="en-US" w:eastAsia="zh-CN"/>
        </w:rPr>
        <w:t>供应商</w:t>
      </w:r>
      <w:r>
        <w:rPr>
          <w:rFonts w:hint="eastAsia"/>
        </w:rPr>
        <w:t>名称：</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(盖章)</w:t>
      </w:r>
    </w:p>
    <w:p w14:paraId="640074FE">
      <w:pPr>
        <w:pStyle w:val="51"/>
        <w:keepNext w:val="0"/>
        <w:keepLines w:val="0"/>
        <w:widowControl w:val="0"/>
        <w:kinsoku/>
        <w:overflowPunct/>
        <w:autoSpaceDE/>
        <w:autoSpaceDN/>
        <w:bidi w:val="0"/>
        <w:spacing w:line="520" w:lineRule="exact"/>
        <w:textAlignment w:val="auto"/>
        <w:rPr>
          <w:rFonts w:hint="eastAsia"/>
        </w:rPr>
      </w:pPr>
      <w:r>
        <w:rPr>
          <w:rFonts w:hint="eastAsia"/>
          <w:lang w:eastAsia="zh-CN"/>
        </w:rPr>
        <w:t>法定代表人/单位负责人或授权代表</w:t>
      </w:r>
      <w:r>
        <w:rPr>
          <w:rFonts w:hint="eastAsia"/>
        </w:rPr>
        <w:t>：</w:t>
      </w:r>
      <w:r>
        <w:rPr>
          <w:rFonts w:hint="eastAsia"/>
          <w:u w:val="single"/>
          <w:lang w:val="en-US" w:eastAsia="zh-CN"/>
        </w:rPr>
        <w:t xml:space="preserve">            </w:t>
      </w:r>
      <w:r>
        <w:rPr>
          <w:rFonts w:hint="eastAsia"/>
        </w:rPr>
        <w:t>(签字</w:t>
      </w:r>
      <w:r>
        <w:rPr>
          <w:rFonts w:hint="eastAsia"/>
          <w:lang w:eastAsia="zh-CN"/>
        </w:rPr>
        <w:t>或盖章</w:t>
      </w:r>
      <w:r>
        <w:rPr>
          <w:rFonts w:hint="eastAsia"/>
        </w:rPr>
        <w:t>)</w:t>
      </w:r>
    </w:p>
    <w:p w14:paraId="4C57161E">
      <w:pPr>
        <w:pStyle w:val="51"/>
        <w:keepNext w:val="0"/>
        <w:keepLines w:val="0"/>
        <w:widowControl w:val="0"/>
        <w:kinsoku/>
        <w:overflowPunct/>
        <w:autoSpaceDE/>
        <w:autoSpaceDN/>
        <w:bidi w:val="0"/>
        <w:spacing w:line="520" w:lineRule="exact"/>
        <w:textAlignment w:val="auto"/>
        <w:rPr>
          <w:rFonts w:hint="eastAsia"/>
        </w:rPr>
      </w:pPr>
      <w:r>
        <w:rPr>
          <w:rFonts w:hint="eastAsia"/>
          <w:lang w:val="en-US" w:eastAsia="zh-CN"/>
        </w:rPr>
        <w:t>磋商</w:t>
      </w:r>
      <w:r>
        <w:rPr>
          <w:rFonts w:hint="eastAsia"/>
        </w:rPr>
        <w:t>日期</w:t>
      </w:r>
      <w:r>
        <w:rPr>
          <w:rFonts w:hint="eastAsia"/>
          <w:lang w:eastAsia="zh-CN"/>
        </w:rPr>
        <w:t>：</w:t>
      </w:r>
      <w:r>
        <w:rPr>
          <w:rFonts w:hint="eastAsia"/>
          <w:u w:val="single"/>
          <w:lang w:val="en-US" w:eastAsia="zh-CN"/>
        </w:rPr>
        <w:t xml:space="preserve">                </w:t>
      </w:r>
      <w:r>
        <w:rPr>
          <w:rFonts w:hint="eastAsia"/>
          <w:lang w:val="en-US" w:eastAsia="zh-CN"/>
        </w:rPr>
        <w:t xml:space="preserve">  </w:t>
      </w:r>
    </w:p>
    <w:p w14:paraId="01B34669">
      <w:pPr>
        <w:pStyle w:val="53"/>
        <w:keepNext w:val="0"/>
        <w:keepLines w:val="0"/>
        <w:widowControl w:val="0"/>
        <w:kinsoku/>
        <w:overflowPunct/>
        <w:autoSpaceDE/>
        <w:autoSpaceDN/>
        <w:bidi w:val="0"/>
        <w:spacing w:line="520" w:lineRule="exact"/>
        <w:textAlignment w:val="auto"/>
        <w:rPr>
          <w:rFonts w:hint="eastAsia"/>
          <w:b/>
          <w:bCs/>
          <w:lang w:val="en-US" w:eastAsia="zh-CN"/>
        </w:rPr>
        <w:sectPr>
          <w:headerReference r:id="rId15" w:type="first"/>
          <w:footerReference r:id="rId17" w:type="first"/>
          <w:headerReference r:id="rId14" w:type="default"/>
          <w:footerReference r:id="rId16" w:type="default"/>
          <w:pgSz w:w="11906" w:h="16838"/>
          <w:pgMar w:top="1440" w:right="1800" w:bottom="1440" w:left="1800" w:header="851" w:footer="992" w:gutter="0"/>
          <w:pgNumType w:fmt="decimal"/>
          <w:cols w:space="0" w:num="1"/>
          <w:titlePg/>
          <w:docGrid w:linePitch="312" w:charSpace="0"/>
        </w:sectPr>
      </w:pPr>
      <w:r>
        <w:rPr>
          <w:rFonts w:hint="eastAsia"/>
          <w:lang w:val="en-US" w:eastAsia="zh-CN"/>
        </w:rPr>
        <w:t>注：本章第一部分所要求的承诺函可参照本格式或自拟格式填写均有效</w:t>
      </w:r>
      <w:bookmarkStart w:id="347" w:name="_Toc22883"/>
      <w:r>
        <w:rPr>
          <w:rFonts w:hint="eastAsia"/>
          <w:b/>
          <w:bCs/>
          <w:lang w:val="en-US" w:eastAsia="zh-CN"/>
        </w:rPr>
        <w:t>。</w:t>
      </w:r>
    </w:p>
    <w:p w14:paraId="2E0E6BD2">
      <w:pPr>
        <w:pStyle w:val="49"/>
        <w:keepNext w:val="0"/>
        <w:keepLines w:val="0"/>
        <w:widowControl w:val="0"/>
        <w:numPr>
          <w:ilvl w:val="0"/>
          <w:numId w:val="13"/>
        </w:numPr>
        <w:kinsoku/>
        <w:overflowPunct/>
        <w:autoSpaceDE/>
        <w:autoSpaceDN/>
        <w:bidi w:val="0"/>
        <w:spacing w:before="120" w:after="120" w:line="520" w:lineRule="exact"/>
        <w:ind w:firstLine="0"/>
        <w:textAlignment w:val="auto"/>
        <w:rPr>
          <w:rFonts w:hint="eastAsia" w:ascii="宋体" w:hAnsi="宋体" w:eastAsia="宋体" w:cs="宋体"/>
          <w:lang w:val="en-US" w:eastAsia="zh-CN"/>
        </w:rPr>
      </w:pPr>
      <w:bookmarkStart w:id="348" w:name="_Toc25825"/>
      <w:r>
        <w:rPr>
          <w:rFonts w:hint="eastAsia" w:ascii="宋体" w:hAnsi="宋体" w:eastAsia="宋体" w:cs="宋体"/>
          <w:lang w:val="en-US" w:eastAsia="zh-CN"/>
        </w:rPr>
        <w:t>落实采购政策需满足的资格要求</w:t>
      </w:r>
      <w:bookmarkEnd w:id="348"/>
    </w:p>
    <w:p w14:paraId="41485AAA">
      <w:pPr>
        <w:pStyle w:val="48"/>
        <w:keepNext w:val="0"/>
        <w:keepLines w:val="0"/>
        <w:widowControl w:val="0"/>
        <w:kinsoku/>
        <w:overflowPunct/>
        <w:autoSpaceDE/>
        <w:autoSpaceDN/>
        <w:bidi w:val="0"/>
        <w:spacing w:line="520" w:lineRule="exact"/>
        <w:jc w:val="center"/>
        <w:textAlignment w:val="auto"/>
        <w:outlineLvl w:val="3"/>
        <w:rPr>
          <w:rFonts w:hint="eastAsia"/>
          <w:b/>
          <w:bCs/>
          <w:sz w:val="28"/>
          <w:szCs w:val="28"/>
          <w:u w:val="none"/>
        </w:rPr>
      </w:pPr>
      <w:r>
        <w:rPr>
          <w:rFonts w:hint="eastAsia"/>
          <w:b/>
          <w:bCs/>
          <w:sz w:val="28"/>
          <w:szCs w:val="28"/>
          <w:u w:val="none"/>
        </w:rPr>
        <w:t>(一)中小企业声明函</w:t>
      </w:r>
    </w:p>
    <w:p w14:paraId="1A5BE629">
      <w:pPr>
        <w:pStyle w:val="48"/>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u w:val="single"/>
        </w:rPr>
      </w:pPr>
      <w:r>
        <w:rPr>
          <w:rFonts w:hint="eastAsia"/>
          <w:u w:val="none"/>
        </w:rPr>
        <w:t>本单位郑重声明，参照《政府采购促进中小企业发展管理办法》(财库﹝2020﹞46号)的规定，本单位参加(</w:t>
      </w:r>
      <w:r>
        <w:rPr>
          <w:rFonts w:hint="eastAsia"/>
          <w:u w:val="single"/>
        </w:rPr>
        <w:t>单位名称</w:t>
      </w:r>
      <w:r>
        <w:rPr>
          <w:rFonts w:hint="eastAsia"/>
          <w:u w:val="none"/>
        </w:rPr>
        <w:t>)的(</w:t>
      </w:r>
      <w:r>
        <w:rPr>
          <w:rFonts w:hint="eastAsia"/>
          <w:u w:val="single"/>
        </w:rPr>
        <w:t>项目名称</w:t>
      </w:r>
      <w:r>
        <w:rPr>
          <w:rFonts w:hint="eastAsia"/>
          <w:u w:val="none"/>
        </w:rPr>
        <w:t>)采购活动，服务全部由符合政策要求的中小企业承接。相关企业的具体情况如下：</w:t>
      </w:r>
    </w:p>
    <w:p w14:paraId="087D5020">
      <w:pPr>
        <w:pStyle w:val="53"/>
        <w:keepNext w:val="0"/>
        <w:keepLines w:val="0"/>
        <w:widowControl w:val="0"/>
        <w:kinsoku/>
        <w:overflowPunct/>
        <w:autoSpaceDE/>
        <w:autoSpaceDN/>
        <w:bidi w:val="0"/>
        <w:spacing w:line="520" w:lineRule="exact"/>
        <w:textAlignment w:val="auto"/>
        <w:rPr>
          <w:rFonts w:hint="eastAsia"/>
          <w:b w:val="0"/>
          <w:bCs/>
          <w:sz w:val="24"/>
        </w:rPr>
      </w:pPr>
      <w:r>
        <w:rPr>
          <w:rFonts w:hint="eastAsia"/>
          <w:b w:val="0"/>
          <w:bCs/>
          <w:i w:val="0"/>
          <w:spacing w:val="0"/>
          <w:w w:val="100"/>
          <w:sz w:val="24"/>
          <w:u w:val="single"/>
          <w:lang w:eastAsia="zh-CN"/>
        </w:rPr>
        <w:t>(</w:t>
      </w:r>
      <w:r>
        <w:rPr>
          <w:rFonts w:hint="eastAsia"/>
          <w:b w:val="0"/>
          <w:bCs/>
          <w:i w:val="0"/>
          <w:spacing w:val="0"/>
          <w:w w:val="100"/>
          <w:sz w:val="24"/>
          <w:u w:val="single"/>
          <w:lang w:val="en-US" w:eastAsia="zh-CN"/>
        </w:rPr>
        <w:t>采购内容</w:t>
      </w:r>
      <w:r>
        <w:rPr>
          <w:rFonts w:hint="eastAsia"/>
          <w:b w:val="0"/>
          <w:bCs/>
          <w:i w:val="0"/>
          <w:spacing w:val="0"/>
          <w:w w:val="100"/>
          <w:sz w:val="24"/>
          <w:u w:val="single"/>
          <w:lang w:eastAsia="zh-CN"/>
        </w:rPr>
        <w:t>)</w:t>
      </w:r>
      <w:r>
        <w:rPr>
          <w:rFonts w:hint="eastAsia"/>
          <w:b w:val="0"/>
          <w:bCs/>
          <w:spacing w:val="0"/>
          <w:w w:val="100"/>
          <w:sz w:val="24"/>
          <w:u w:val="none"/>
        </w:rPr>
        <w:t>，属于</w:t>
      </w:r>
      <w:r>
        <w:rPr>
          <w:rFonts w:hint="eastAsia"/>
          <w:b w:val="0"/>
          <w:bCs/>
          <w:i w:val="0"/>
          <w:spacing w:val="0"/>
          <w:w w:val="100"/>
          <w:sz w:val="24"/>
          <w:u w:val="single"/>
          <w:lang w:eastAsia="zh-CN"/>
        </w:rPr>
        <w:t>(</w:t>
      </w:r>
      <w:r>
        <w:rPr>
          <w:rFonts w:hint="eastAsia"/>
          <w:b w:val="0"/>
          <w:bCs/>
          <w:i w:val="0"/>
          <w:spacing w:val="0"/>
          <w:w w:val="100"/>
          <w:sz w:val="24"/>
          <w:u w:val="single"/>
        </w:rPr>
        <w:t>采购文件中明确的所属行业</w:t>
      </w:r>
      <w:r>
        <w:rPr>
          <w:rFonts w:hint="eastAsia"/>
          <w:b w:val="0"/>
          <w:bCs/>
          <w:i w:val="0"/>
          <w:spacing w:val="0"/>
          <w:w w:val="100"/>
          <w:sz w:val="24"/>
          <w:u w:val="single"/>
          <w:lang w:eastAsia="zh-CN"/>
        </w:rPr>
        <w:t>)</w:t>
      </w:r>
      <w:r>
        <w:rPr>
          <w:rFonts w:hint="eastAsia"/>
          <w:b w:val="0"/>
          <w:bCs/>
          <w:w w:val="100"/>
          <w:sz w:val="24"/>
          <w:u w:val="none"/>
        </w:rPr>
        <w:t>；</w:t>
      </w:r>
      <w:r>
        <w:rPr>
          <w:rFonts w:hint="eastAsia"/>
          <w:b w:val="0"/>
          <w:bCs/>
          <w:spacing w:val="0"/>
          <w:w w:val="100"/>
          <w:sz w:val="24"/>
        </w:rPr>
        <w:t>承接企业为</w:t>
      </w:r>
      <w:r>
        <w:rPr>
          <w:rFonts w:hint="eastAsia"/>
          <w:b w:val="0"/>
          <w:bCs/>
          <w:i w:val="0"/>
          <w:spacing w:val="0"/>
          <w:w w:val="100"/>
          <w:sz w:val="24"/>
          <w:u w:val="single"/>
          <w:lang w:eastAsia="zh-CN"/>
        </w:rPr>
        <w:t>(</w:t>
      </w:r>
      <w:r>
        <w:rPr>
          <w:rFonts w:hint="eastAsia"/>
          <w:b w:val="0"/>
          <w:bCs/>
          <w:i w:val="0"/>
          <w:spacing w:val="0"/>
          <w:w w:val="100"/>
          <w:sz w:val="24"/>
          <w:u w:val="single"/>
        </w:rPr>
        <w:t>企业名称</w:t>
      </w:r>
      <w:r>
        <w:rPr>
          <w:rFonts w:hint="eastAsia"/>
          <w:b w:val="0"/>
          <w:bCs/>
          <w:i w:val="0"/>
          <w:spacing w:val="0"/>
          <w:w w:val="100"/>
          <w:sz w:val="24"/>
          <w:u w:val="single"/>
          <w:lang w:eastAsia="zh-CN"/>
        </w:rPr>
        <w:t>)</w:t>
      </w:r>
      <w:r>
        <w:rPr>
          <w:rFonts w:hint="eastAsia"/>
          <w:b w:val="0"/>
          <w:bCs/>
          <w:spacing w:val="0"/>
          <w:w w:val="100"/>
          <w:sz w:val="24"/>
        </w:rPr>
        <w:t>，从业人员</w:t>
      </w:r>
      <w:r>
        <w:rPr>
          <w:rFonts w:hint="eastAsia"/>
          <w:b w:val="0"/>
          <w:bCs/>
          <w:w w:val="100"/>
          <w:sz w:val="24"/>
          <w:u w:val="single"/>
          <w:lang w:val="en-US" w:eastAsia="zh-CN"/>
        </w:rPr>
        <w:t xml:space="preserve">    </w:t>
      </w:r>
      <w:r>
        <w:rPr>
          <w:rFonts w:hint="eastAsia"/>
          <w:b w:val="0"/>
          <w:bCs/>
          <w:spacing w:val="0"/>
          <w:w w:val="100"/>
          <w:sz w:val="24"/>
        </w:rPr>
        <w:t>人，营</w:t>
      </w:r>
      <w:r>
        <w:rPr>
          <w:rFonts w:hint="eastAsia"/>
          <w:b w:val="0"/>
          <w:bCs/>
          <w:w w:val="100"/>
          <w:sz w:val="24"/>
        </w:rPr>
        <w:t>业</w:t>
      </w:r>
      <w:r>
        <w:rPr>
          <w:rFonts w:hint="eastAsia"/>
          <w:b w:val="0"/>
          <w:bCs/>
          <w:sz w:val="24"/>
        </w:rPr>
        <w:t>收入为</w:t>
      </w:r>
      <w:r>
        <w:rPr>
          <w:rFonts w:hint="eastAsia"/>
          <w:b w:val="0"/>
          <w:bCs/>
          <w:sz w:val="24"/>
          <w:u w:val="single"/>
          <w:lang w:val="en-US" w:eastAsia="zh-CN"/>
        </w:rPr>
        <w:t xml:space="preserve">    </w:t>
      </w:r>
      <w:r>
        <w:rPr>
          <w:rFonts w:hint="eastAsia"/>
          <w:b w:val="0"/>
          <w:bCs/>
          <w:sz w:val="24"/>
          <w:u w:val="none"/>
        </w:rPr>
        <w:tab/>
      </w:r>
      <w:r>
        <w:rPr>
          <w:rFonts w:hint="eastAsia"/>
          <w:b w:val="0"/>
          <w:bCs/>
          <w:sz w:val="24"/>
        </w:rPr>
        <w:t>万元，资产总额为</w:t>
      </w:r>
      <w:r>
        <w:rPr>
          <w:rFonts w:hint="eastAsia"/>
          <w:b w:val="0"/>
          <w:bCs/>
          <w:sz w:val="24"/>
          <w:u w:val="single"/>
          <w:lang w:val="en-US" w:eastAsia="zh-CN"/>
        </w:rPr>
        <w:t xml:space="preserve">    </w:t>
      </w:r>
      <w:r>
        <w:rPr>
          <w:rFonts w:hint="eastAsia"/>
          <w:b w:val="0"/>
          <w:bCs/>
          <w:w w:val="100"/>
          <w:sz w:val="24"/>
        </w:rPr>
        <w:t>万元，属</w:t>
      </w:r>
      <w:r>
        <w:rPr>
          <w:rFonts w:hint="eastAsia"/>
          <w:b w:val="0"/>
          <w:bCs/>
          <w:spacing w:val="0"/>
          <w:w w:val="100"/>
          <w:sz w:val="24"/>
        </w:rPr>
        <w:t>于</w:t>
      </w:r>
      <w:r>
        <w:rPr>
          <w:rFonts w:hint="eastAsia"/>
          <w:b w:val="0"/>
          <w:bCs/>
          <w:i w:val="0"/>
          <w:spacing w:val="0"/>
          <w:w w:val="100"/>
          <w:sz w:val="24"/>
          <w:u w:val="single"/>
          <w:lang w:eastAsia="zh-CN"/>
        </w:rPr>
        <w:t>(</w:t>
      </w:r>
      <w:r>
        <w:rPr>
          <w:rFonts w:hint="eastAsia"/>
          <w:b w:val="0"/>
          <w:bCs/>
          <w:i w:val="0"/>
          <w:spacing w:val="0"/>
          <w:w w:val="100"/>
          <w:sz w:val="24"/>
          <w:u w:val="single"/>
        </w:rPr>
        <w:t>中型企业</w:t>
      </w:r>
      <w:r>
        <w:rPr>
          <w:rFonts w:hint="eastAsia"/>
          <w:b w:val="0"/>
          <w:bCs/>
          <w:i w:val="0"/>
          <w:w w:val="100"/>
          <w:sz w:val="24"/>
          <w:u w:val="single"/>
        </w:rPr>
        <w:t>、</w:t>
      </w:r>
      <w:r>
        <w:rPr>
          <w:rFonts w:hint="eastAsia"/>
          <w:b w:val="0"/>
          <w:bCs/>
          <w:i w:val="0"/>
          <w:spacing w:val="0"/>
          <w:w w:val="100"/>
          <w:sz w:val="24"/>
          <w:u w:val="single"/>
        </w:rPr>
        <w:t>小型企业、微型企业</w:t>
      </w:r>
      <w:r>
        <w:rPr>
          <w:rFonts w:hint="eastAsia"/>
          <w:b w:val="0"/>
          <w:bCs/>
          <w:i w:val="0"/>
          <w:spacing w:val="0"/>
          <w:w w:val="100"/>
          <w:sz w:val="24"/>
          <w:u w:val="single"/>
          <w:lang w:eastAsia="zh-CN"/>
        </w:rPr>
        <w:t>)</w:t>
      </w:r>
      <w:r>
        <w:rPr>
          <w:rFonts w:hint="eastAsia"/>
          <w:b w:val="0"/>
          <w:bCs/>
          <w:w w:val="100"/>
          <w:sz w:val="24"/>
        </w:rPr>
        <w:t>；</w:t>
      </w:r>
    </w:p>
    <w:p w14:paraId="55DC7801">
      <w:pPr>
        <w:pStyle w:val="53"/>
        <w:keepNext w:val="0"/>
        <w:keepLines w:val="0"/>
        <w:widowControl w:val="0"/>
        <w:kinsoku/>
        <w:overflowPunct/>
        <w:autoSpaceDE/>
        <w:autoSpaceDN/>
        <w:bidi w:val="0"/>
        <w:spacing w:line="520" w:lineRule="exact"/>
        <w:textAlignment w:val="auto"/>
        <w:rPr>
          <w:rFonts w:hint="eastAsia"/>
          <w:b w:val="0"/>
          <w:bCs/>
          <w:sz w:val="24"/>
          <w:u w:val="none"/>
        </w:rPr>
      </w:pPr>
      <w:r>
        <w:rPr>
          <w:rFonts w:hint="eastAsia"/>
          <w:b w:val="0"/>
          <w:bCs/>
          <w:i w:val="0"/>
          <w:spacing w:val="0"/>
          <w:w w:val="100"/>
          <w:sz w:val="24"/>
          <w:u w:val="single"/>
          <w:lang w:eastAsia="zh-CN"/>
        </w:rPr>
        <w:t>(</w:t>
      </w:r>
      <w:r>
        <w:rPr>
          <w:rFonts w:hint="eastAsia"/>
          <w:b w:val="0"/>
          <w:bCs/>
          <w:i w:val="0"/>
          <w:spacing w:val="0"/>
          <w:w w:val="100"/>
          <w:sz w:val="24"/>
          <w:u w:val="single"/>
          <w:lang w:val="en-US" w:eastAsia="zh-CN"/>
        </w:rPr>
        <w:t>采购内容</w:t>
      </w:r>
      <w:r>
        <w:rPr>
          <w:rFonts w:hint="eastAsia"/>
          <w:b w:val="0"/>
          <w:bCs/>
          <w:i w:val="0"/>
          <w:spacing w:val="0"/>
          <w:w w:val="100"/>
          <w:sz w:val="24"/>
          <w:u w:val="single"/>
          <w:lang w:eastAsia="zh-CN"/>
        </w:rPr>
        <w:t>)</w:t>
      </w:r>
      <w:r>
        <w:rPr>
          <w:rFonts w:hint="eastAsia"/>
          <w:b w:val="0"/>
          <w:bCs/>
          <w:spacing w:val="0"/>
          <w:w w:val="100"/>
          <w:sz w:val="24"/>
          <w:u w:val="none"/>
        </w:rPr>
        <w:t>，</w:t>
      </w:r>
      <w:r>
        <w:rPr>
          <w:rFonts w:hint="eastAsia"/>
          <w:b w:val="0"/>
          <w:bCs/>
          <w:w w:val="100"/>
          <w:sz w:val="24"/>
          <w:u w:val="none"/>
        </w:rPr>
        <w:t>属</w:t>
      </w:r>
      <w:r>
        <w:rPr>
          <w:rFonts w:hint="eastAsia"/>
          <w:b w:val="0"/>
          <w:bCs/>
          <w:spacing w:val="0"/>
          <w:w w:val="100"/>
          <w:sz w:val="24"/>
          <w:u w:val="none"/>
        </w:rPr>
        <w:t>于</w:t>
      </w:r>
      <w:r>
        <w:rPr>
          <w:rFonts w:hint="eastAsia"/>
          <w:b w:val="0"/>
          <w:bCs/>
          <w:i w:val="0"/>
          <w:spacing w:val="0"/>
          <w:w w:val="100"/>
          <w:sz w:val="24"/>
          <w:u w:val="single"/>
          <w:lang w:eastAsia="zh-CN"/>
        </w:rPr>
        <w:t>(</w:t>
      </w:r>
      <w:r>
        <w:rPr>
          <w:rFonts w:hint="eastAsia"/>
          <w:b w:val="0"/>
          <w:bCs/>
          <w:i w:val="0"/>
          <w:spacing w:val="0"/>
          <w:w w:val="100"/>
          <w:sz w:val="24"/>
          <w:u w:val="single"/>
        </w:rPr>
        <w:t>采购文件中明确的所属行业</w:t>
      </w:r>
      <w:r>
        <w:rPr>
          <w:rFonts w:hint="eastAsia"/>
          <w:b w:val="0"/>
          <w:bCs/>
          <w:i w:val="0"/>
          <w:spacing w:val="0"/>
          <w:w w:val="100"/>
          <w:sz w:val="24"/>
          <w:u w:val="single"/>
          <w:lang w:eastAsia="zh-CN"/>
        </w:rPr>
        <w:t>)</w:t>
      </w:r>
      <w:r>
        <w:rPr>
          <w:rFonts w:hint="eastAsia"/>
          <w:b w:val="0"/>
          <w:bCs/>
          <w:w w:val="100"/>
          <w:sz w:val="24"/>
          <w:u w:val="none"/>
        </w:rPr>
        <w:t>；</w:t>
      </w:r>
      <w:r>
        <w:rPr>
          <w:rFonts w:hint="eastAsia"/>
          <w:b w:val="0"/>
          <w:bCs/>
          <w:spacing w:val="0"/>
          <w:w w:val="100"/>
          <w:sz w:val="24"/>
          <w:u w:val="none"/>
        </w:rPr>
        <w:t>承接企业为</w:t>
      </w:r>
      <w:r>
        <w:rPr>
          <w:rFonts w:hint="eastAsia"/>
          <w:b w:val="0"/>
          <w:bCs/>
          <w:i w:val="0"/>
          <w:spacing w:val="0"/>
          <w:w w:val="100"/>
          <w:sz w:val="24"/>
          <w:u w:val="single"/>
          <w:lang w:eastAsia="zh-CN"/>
        </w:rPr>
        <w:t>(</w:t>
      </w:r>
      <w:r>
        <w:rPr>
          <w:rFonts w:hint="eastAsia"/>
          <w:b w:val="0"/>
          <w:bCs/>
          <w:i w:val="0"/>
          <w:spacing w:val="0"/>
          <w:w w:val="100"/>
          <w:sz w:val="24"/>
          <w:u w:val="single"/>
        </w:rPr>
        <w:t>企业名称</w:t>
      </w:r>
      <w:r>
        <w:rPr>
          <w:rFonts w:hint="eastAsia"/>
          <w:b w:val="0"/>
          <w:bCs/>
          <w:i w:val="0"/>
          <w:spacing w:val="0"/>
          <w:w w:val="100"/>
          <w:sz w:val="24"/>
          <w:u w:val="single"/>
          <w:lang w:eastAsia="zh-CN"/>
        </w:rPr>
        <w:t>)</w:t>
      </w:r>
      <w:r>
        <w:rPr>
          <w:rFonts w:hint="eastAsia"/>
          <w:b w:val="0"/>
          <w:bCs/>
          <w:spacing w:val="0"/>
          <w:w w:val="100"/>
          <w:sz w:val="24"/>
          <w:u w:val="none"/>
        </w:rPr>
        <w:t>，从业人员</w:t>
      </w:r>
      <w:r>
        <w:rPr>
          <w:rFonts w:hint="eastAsia"/>
          <w:b w:val="0"/>
          <w:bCs/>
          <w:w w:val="100"/>
          <w:sz w:val="24"/>
          <w:u w:val="single"/>
          <w:lang w:val="en-US" w:eastAsia="zh-CN"/>
        </w:rPr>
        <w:t xml:space="preserve">    </w:t>
      </w:r>
      <w:r>
        <w:rPr>
          <w:rFonts w:hint="eastAsia" w:ascii="宋体" w:eastAsia="宋体"/>
          <w:b w:val="0"/>
          <w:bCs/>
          <w:sz w:val="24"/>
          <w:u w:val="none"/>
        </w:rPr>
        <w:tab/>
      </w:r>
      <w:r>
        <w:rPr>
          <w:rFonts w:hint="eastAsia"/>
          <w:b w:val="0"/>
          <w:bCs/>
          <w:spacing w:val="0"/>
          <w:w w:val="100"/>
          <w:sz w:val="24"/>
          <w:u w:val="none"/>
        </w:rPr>
        <w:t>人，营</w:t>
      </w:r>
      <w:r>
        <w:rPr>
          <w:rFonts w:hint="eastAsia"/>
          <w:b w:val="0"/>
          <w:bCs/>
          <w:w w:val="100"/>
          <w:sz w:val="24"/>
          <w:u w:val="none"/>
        </w:rPr>
        <w:t>业</w:t>
      </w:r>
      <w:r>
        <w:rPr>
          <w:rFonts w:hint="eastAsia"/>
          <w:b w:val="0"/>
          <w:bCs/>
          <w:sz w:val="24"/>
          <w:u w:val="none"/>
        </w:rPr>
        <w:t>收入为</w:t>
      </w:r>
      <w:r>
        <w:rPr>
          <w:rFonts w:hint="eastAsia"/>
          <w:b w:val="0"/>
          <w:bCs/>
          <w:w w:val="100"/>
          <w:sz w:val="24"/>
          <w:u w:val="single"/>
          <w:lang w:val="en-US" w:eastAsia="zh-CN"/>
        </w:rPr>
        <w:t xml:space="preserve">    </w:t>
      </w:r>
      <w:r>
        <w:rPr>
          <w:rFonts w:hint="eastAsia" w:ascii="宋体" w:eastAsia="宋体"/>
          <w:b w:val="0"/>
          <w:bCs/>
          <w:sz w:val="24"/>
          <w:u w:val="none"/>
        </w:rPr>
        <w:tab/>
      </w:r>
      <w:r>
        <w:rPr>
          <w:rFonts w:hint="eastAsia"/>
          <w:b w:val="0"/>
          <w:bCs/>
          <w:sz w:val="24"/>
          <w:u w:val="none"/>
        </w:rPr>
        <w:t>万元，资产总额为</w:t>
      </w:r>
      <w:r>
        <w:rPr>
          <w:rFonts w:hint="eastAsia"/>
          <w:b w:val="0"/>
          <w:bCs/>
          <w:w w:val="100"/>
          <w:sz w:val="24"/>
          <w:u w:val="single"/>
          <w:lang w:val="en-US" w:eastAsia="zh-CN"/>
        </w:rPr>
        <w:t xml:space="preserve">    </w:t>
      </w:r>
      <w:r>
        <w:rPr>
          <w:rFonts w:hint="eastAsia" w:ascii="宋体" w:eastAsia="宋体"/>
          <w:b w:val="0"/>
          <w:bCs/>
          <w:sz w:val="24"/>
          <w:u w:val="none"/>
        </w:rPr>
        <w:tab/>
      </w:r>
      <w:r>
        <w:rPr>
          <w:rFonts w:hint="eastAsia"/>
          <w:b w:val="0"/>
          <w:bCs/>
          <w:sz w:val="24"/>
          <w:u w:val="none"/>
        </w:rPr>
        <w:t>万元，属</w:t>
      </w:r>
      <w:r>
        <w:rPr>
          <w:rFonts w:hint="eastAsia"/>
          <w:b w:val="0"/>
          <w:bCs/>
          <w:spacing w:val="0"/>
          <w:sz w:val="24"/>
          <w:u w:val="none"/>
        </w:rPr>
        <w:t>于</w:t>
      </w:r>
      <w:r>
        <w:rPr>
          <w:rFonts w:hint="eastAsia"/>
          <w:b w:val="0"/>
          <w:bCs/>
          <w:i w:val="0"/>
          <w:spacing w:val="0"/>
          <w:sz w:val="24"/>
          <w:u w:val="single"/>
          <w:lang w:eastAsia="zh-CN"/>
        </w:rPr>
        <w:t>(</w:t>
      </w:r>
      <w:r>
        <w:rPr>
          <w:rFonts w:hint="eastAsia"/>
          <w:b w:val="0"/>
          <w:bCs/>
          <w:i w:val="0"/>
          <w:spacing w:val="0"/>
          <w:sz w:val="24"/>
          <w:u w:val="single"/>
        </w:rPr>
        <w:t>中型企业</w:t>
      </w:r>
      <w:r>
        <w:rPr>
          <w:rFonts w:hint="eastAsia"/>
          <w:b w:val="0"/>
          <w:bCs/>
          <w:i w:val="0"/>
          <w:sz w:val="24"/>
          <w:u w:val="single"/>
        </w:rPr>
        <w:t>、</w:t>
      </w:r>
      <w:r>
        <w:rPr>
          <w:rFonts w:hint="eastAsia"/>
          <w:b w:val="0"/>
          <w:bCs/>
          <w:i w:val="0"/>
          <w:spacing w:val="0"/>
          <w:w w:val="100"/>
          <w:sz w:val="24"/>
          <w:u w:val="single"/>
        </w:rPr>
        <w:t>小型企业、微型企业</w:t>
      </w:r>
      <w:r>
        <w:rPr>
          <w:rFonts w:hint="eastAsia"/>
          <w:b w:val="0"/>
          <w:bCs/>
          <w:i w:val="0"/>
          <w:spacing w:val="0"/>
          <w:w w:val="100"/>
          <w:sz w:val="24"/>
          <w:u w:val="single"/>
          <w:lang w:eastAsia="zh-CN"/>
        </w:rPr>
        <w:t>)</w:t>
      </w:r>
      <w:r>
        <w:rPr>
          <w:rFonts w:hint="eastAsia"/>
          <w:b w:val="0"/>
          <w:bCs/>
          <w:w w:val="100"/>
          <w:sz w:val="24"/>
          <w:u w:val="none"/>
        </w:rPr>
        <w:t>；</w:t>
      </w:r>
    </w:p>
    <w:p w14:paraId="11DC1336">
      <w:pPr>
        <w:pStyle w:val="53"/>
        <w:keepNext w:val="0"/>
        <w:keepLines w:val="0"/>
        <w:widowControl w:val="0"/>
        <w:kinsoku/>
        <w:overflowPunct/>
        <w:autoSpaceDE/>
        <w:autoSpaceDN/>
        <w:bidi w:val="0"/>
        <w:spacing w:line="520" w:lineRule="exact"/>
        <w:textAlignment w:val="auto"/>
        <w:rPr>
          <w:rFonts w:hint="eastAsia"/>
          <w:b w:val="0"/>
          <w:bCs/>
        </w:rPr>
      </w:pPr>
      <w:r>
        <w:rPr>
          <w:rFonts w:hint="eastAsia"/>
          <w:b w:val="0"/>
          <w:bCs/>
        </w:rPr>
        <w:t>……</w:t>
      </w:r>
    </w:p>
    <w:p w14:paraId="6AA7DBDF">
      <w:pPr>
        <w:pStyle w:val="53"/>
        <w:keepNext w:val="0"/>
        <w:keepLines w:val="0"/>
        <w:widowControl w:val="0"/>
        <w:kinsoku/>
        <w:overflowPunct/>
        <w:autoSpaceDE/>
        <w:autoSpaceDN/>
        <w:bidi w:val="0"/>
        <w:spacing w:line="520" w:lineRule="exact"/>
        <w:textAlignment w:val="auto"/>
        <w:rPr>
          <w:rFonts w:hint="eastAsia"/>
          <w:b w:val="0"/>
          <w:bCs/>
        </w:rPr>
      </w:pPr>
      <w:r>
        <w:rPr>
          <w:rFonts w:hint="eastAsia"/>
          <w:b w:val="0"/>
          <w:bCs/>
          <w:spacing w:val="0"/>
        </w:rPr>
        <w:t>以上企业，不属于大企业的分支机构，不存在控股股东为大企业的情形，也不存在与大企业的负责人为同一人的情形。</w:t>
      </w:r>
    </w:p>
    <w:p w14:paraId="1A510C32">
      <w:pPr>
        <w:pStyle w:val="53"/>
        <w:keepNext w:val="0"/>
        <w:keepLines w:val="0"/>
        <w:widowControl w:val="0"/>
        <w:kinsoku/>
        <w:overflowPunct/>
        <w:autoSpaceDE/>
        <w:autoSpaceDN/>
        <w:bidi w:val="0"/>
        <w:spacing w:line="520" w:lineRule="exact"/>
        <w:textAlignment w:val="auto"/>
        <w:rPr>
          <w:rFonts w:hint="eastAsia"/>
          <w:b w:val="0"/>
          <w:bCs/>
        </w:rPr>
      </w:pPr>
      <w:r>
        <w:rPr>
          <w:rFonts w:hint="eastAsia"/>
          <w:b w:val="0"/>
          <w:bCs/>
        </w:rPr>
        <w:t>本企业对上述声明内容的真实性负责。如有虚假，将依法承担相应责任。</w:t>
      </w:r>
    </w:p>
    <w:p w14:paraId="47A66F56">
      <w:pPr>
        <w:pStyle w:val="48"/>
        <w:keepNext w:val="0"/>
        <w:keepLines w:val="0"/>
        <w:widowControl w:val="0"/>
        <w:kinsoku/>
        <w:overflowPunct/>
        <w:autoSpaceDE/>
        <w:autoSpaceDN/>
        <w:bidi w:val="0"/>
        <w:spacing w:line="520" w:lineRule="exact"/>
        <w:textAlignment w:val="auto"/>
        <w:rPr>
          <w:rFonts w:hint="eastAsia"/>
        </w:rPr>
      </w:pPr>
    </w:p>
    <w:p w14:paraId="141B293B">
      <w:pPr>
        <w:pStyle w:val="48"/>
        <w:keepNext w:val="0"/>
        <w:keepLines w:val="0"/>
        <w:widowControl w:val="0"/>
        <w:kinsoku/>
        <w:overflowPunct/>
        <w:autoSpaceDE/>
        <w:autoSpaceDN/>
        <w:bidi w:val="0"/>
        <w:spacing w:line="520" w:lineRule="exact"/>
        <w:textAlignment w:val="auto"/>
        <w:rPr>
          <w:rFonts w:hint="eastAsia"/>
        </w:rPr>
      </w:pPr>
    </w:p>
    <w:p w14:paraId="74F97B34">
      <w:pPr>
        <w:pStyle w:val="48"/>
        <w:keepNext w:val="0"/>
        <w:keepLines w:val="0"/>
        <w:pageBreakBefore w:val="0"/>
        <w:widowControl w:val="0"/>
        <w:kinsoku/>
        <w:wordWrap w:val="0"/>
        <w:overflowPunct/>
        <w:topLinePunct/>
        <w:autoSpaceDE/>
        <w:autoSpaceDN/>
        <w:bidi w:val="0"/>
        <w:adjustRightInd w:val="0"/>
        <w:snapToGrid w:val="0"/>
        <w:spacing w:line="520" w:lineRule="exact"/>
        <w:ind w:left="4800" w:leftChars="2000"/>
        <w:textAlignment w:val="auto"/>
        <w:rPr>
          <w:rFonts w:hint="eastAsia"/>
        </w:rPr>
      </w:pPr>
      <w:r>
        <w:rPr>
          <w:rFonts w:hint="eastAsia"/>
        </w:rPr>
        <w:t>企业名称(盖章)：</w:t>
      </w:r>
      <w:r>
        <w:rPr>
          <w:rFonts w:hint="eastAsia"/>
          <w:u w:val="single"/>
          <w:lang w:val="en-US" w:eastAsia="zh-CN"/>
        </w:rPr>
        <w:t xml:space="preserve">        </w:t>
      </w:r>
    </w:p>
    <w:p w14:paraId="1981AA21">
      <w:pPr>
        <w:pStyle w:val="48"/>
        <w:keepNext w:val="0"/>
        <w:keepLines w:val="0"/>
        <w:pageBreakBefore w:val="0"/>
        <w:widowControl w:val="0"/>
        <w:kinsoku/>
        <w:wordWrap w:val="0"/>
        <w:overflowPunct/>
        <w:topLinePunct/>
        <w:autoSpaceDE/>
        <w:autoSpaceDN/>
        <w:bidi w:val="0"/>
        <w:adjustRightInd w:val="0"/>
        <w:snapToGrid w:val="0"/>
        <w:spacing w:line="520" w:lineRule="exact"/>
        <w:ind w:left="4800" w:leftChars="2000"/>
        <w:textAlignment w:val="auto"/>
        <w:rPr>
          <w:rFonts w:hint="eastAsia"/>
          <w:lang w:val="en-US" w:eastAsia="zh-CN"/>
        </w:rPr>
      </w:pPr>
      <w:r>
        <w:rPr>
          <w:rFonts w:hint="eastAsia"/>
        </w:rPr>
        <w:t>日期：</w:t>
      </w:r>
      <w:r>
        <w:rPr>
          <w:rFonts w:hint="eastAsia"/>
          <w:u w:val="single"/>
          <w:lang w:val="en-US" w:eastAsia="zh-CN"/>
        </w:rPr>
        <w:t xml:space="preserve">        </w:t>
      </w:r>
      <w:r>
        <w:rPr>
          <w:rFonts w:hint="eastAsia"/>
          <w:lang w:val="en-US" w:eastAsia="zh-CN"/>
        </w:rPr>
        <w:t xml:space="preserve">           </w:t>
      </w:r>
      <w:r>
        <w:rPr>
          <w:rFonts w:hint="eastAsia"/>
        </w:rPr>
        <w:t>　</w:t>
      </w:r>
    </w:p>
    <w:p w14:paraId="454D4C64">
      <w:pPr>
        <w:pStyle w:val="53"/>
        <w:keepNext w:val="0"/>
        <w:keepLines w:val="0"/>
        <w:pageBreakBefore w:val="0"/>
        <w:widowControl w:val="0"/>
        <w:kinsoku/>
        <w:overflowPunct/>
        <w:autoSpaceDE/>
        <w:autoSpaceDN/>
        <w:bidi w:val="0"/>
        <w:adjustRightInd w:val="0"/>
        <w:snapToGrid w:val="0"/>
        <w:spacing w:line="520" w:lineRule="exact"/>
        <w:textAlignment w:val="auto"/>
        <w:rPr>
          <w:rFonts w:hint="eastAsia"/>
        </w:rPr>
      </w:pPr>
    </w:p>
    <w:p w14:paraId="50CB95C0">
      <w:pPr>
        <w:pStyle w:val="53"/>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lang w:val="en-US" w:eastAsia="zh-CN"/>
        </w:rPr>
        <w:t>注：</w:t>
      </w:r>
      <w:r>
        <w:rPr>
          <w:rFonts w:hint="eastAsia"/>
        </w:rPr>
        <w:t>从业人员、营业收入、资产总额填报上一年度数据，无上一年度数据的新成立企业可不填报。</w:t>
      </w:r>
    </w:p>
    <w:p w14:paraId="54BD95C3">
      <w:pPr>
        <w:pStyle w:val="76"/>
        <w:keepNext w:val="0"/>
        <w:keepLines w:val="0"/>
        <w:pageBreakBefore/>
        <w:widowControl w:val="0"/>
        <w:numPr>
          <w:ilvl w:val="0"/>
          <w:numId w:val="0"/>
        </w:numPr>
        <w:kinsoku/>
        <w:wordWrap w:val="0"/>
        <w:overflowPunct/>
        <w:topLinePunct/>
        <w:autoSpaceDE/>
        <w:autoSpaceDN/>
        <w:bidi w:val="0"/>
        <w:adjustRightInd w:val="0"/>
        <w:snapToGrid w:val="0"/>
        <w:spacing w:before="0" w:beforeLines="0" w:after="0" w:afterLines="0" w:line="520" w:lineRule="exact"/>
        <w:ind w:leftChars="0" w:firstLine="0" w:firstLineChars="0"/>
        <w:textAlignment w:val="auto"/>
        <w:outlineLvl w:val="3"/>
        <w:rPr>
          <w:rFonts w:hint="default" w:ascii="宋体" w:hAnsi="宋体" w:eastAsia="宋体"/>
          <w:color w:val="auto"/>
          <w:lang w:val="en-US" w:eastAsia="zh-CN"/>
        </w:rPr>
      </w:pPr>
      <w:bookmarkStart w:id="349" w:name="_Toc32202"/>
      <w:bookmarkStart w:id="350" w:name="_Toc16266"/>
      <w:r>
        <w:rPr>
          <w:rFonts w:hint="eastAsia" w:ascii="宋体" w:hAnsi="宋体" w:eastAsia="宋体"/>
          <w:color w:val="auto"/>
          <w:lang w:val="en-US" w:eastAsia="zh-CN"/>
        </w:rPr>
        <w:t>(二)监狱企业相关证明材料(如涉及)</w:t>
      </w:r>
      <w:bookmarkEnd w:id="349"/>
      <w:bookmarkEnd w:id="350"/>
    </w:p>
    <w:p w14:paraId="3B3E49AB">
      <w:pPr>
        <w:pStyle w:val="53"/>
        <w:keepNext w:val="0"/>
        <w:keepLines w:val="0"/>
        <w:widowControl w:val="0"/>
        <w:kinsoku/>
        <w:overflowPunct/>
        <w:autoSpaceDE/>
        <w:autoSpaceDN/>
        <w:bidi w:val="0"/>
        <w:spacing w:line="520" w:lineRule="exact"/>
        <w:textAlignment w:val="auto"/>
        <w:rPr>
          <w:rFonts w:hint="eastAsia"/>
        </w:rPr>
      </w:pPr>
      <w:r>
        <w:rPr>
          <w:rFonts w:hint="eastAsia"/>
        </w:rPr>
        <w:t>说明：</w:t>
      </w:r>
      <w:r>
        <w:rPr>
          <w:rFonts w:hint="eastAsia"/>
          <w:lang w:val="en-US" w:eastAsia="zh-CN"/>
        </w:rPr>
        <w:t>监狱企业参加采购活动时，在参加采购活动时应当提供由省级以上监狱管理局、戒毒管理局(含新疆生产建设兵团)出具的属于监狱企业的证明文件，否则将被作为无效响应处理。</w:t>
      </w:r>
    </w:p>
    <w:p w14:paraId="1D564FB2">
      <w:pPr>
        <w:pStyle w:val="48"/>
        <w:keepNext w:val="0"/>
        <w:keepLines w:val="0"/>
        <w:widowControl w:val="0"/>
        <w:kinsoku/>
        <w:overflowPunct/>
        <w:autoSpaceDE/>
        <w:autoSpaceDN/>
        <w:bidi w:val="0"/>
        <w:spacing w:line="520" w:lineRule="exact"/>
        <w:textAlignment w:val="auto"/>
        <w:rPr>
          <w:rFonts w:hint="eastAsia"/>
          <w:lang w:val="en-US" w:eastAsia="zh-CN"/>
        </w:rPr>
      </w:pPr>
      <w:r>
        <w:rPr>
          <w:rFonts w:hint="eastAsia"/>
          <w:lang w:val="en-US" w:eastAsia="zh-CN"/>
        </w:rPr>
        <w:br w:type="page"/>
      </w:r>
    </w:p>
    <w:p w14:paraId="781A866B">
      <w:pPr>
        <w:pStyle w:val="76"/>
        <w:keepNext w:val="0"/>
        <w:keepLines w:val="0"/>
        <w:pageBreakBefore/>
        <w:widowControl w:val="0"/>
        <w:numPr>
          <w:ilvl w:val="0"/>
          <w:numId w:val="0"/>
        </w:numPr>
        <w:kinsoku/>
        <w:wordWrap w:val="0"/>
        <w:overflowPunct/>
        <w:topLinePunct/>
        <w:autoSpaceDE/>
        <w:autoSpaceDN/>
        <w:bidi w:val="0"/>
        <w:adjustRightInd w:val="0"/>
        <w:snapToGrid w:val="0"/>
        <w:spacing w:before="0" w:beforeLines="0" w:after="0" w:afterLines="0" w:line="520" w:lineRule="exact"/>
        <w:ind w:leftChars="0" w:firstLine="0" w:firstLineChars="0"/>
        <w:textAlignment w:val="auto"/>
        <w:outlineLvl w:val="3"/>
        <w:rPr>
          <w:rFonts w:hint="eastAsia" w:ascii="宋体" w:hAnsi="宋体" w:eastAsia="宋体"/>
          <w:lang w:val="en-US" w:eastAsia="zh-CN"/>
        </w:rPr>
      </w:pPr>
      <w:bookmarkStart w:id="351" w:name="_Toc2584"/>
      <w:bookmarkStart w:id="352" w:name="_Toc12470"/>
      <w:r>
        <w:rPr>
          <w:rFonts w:hint="eastAsia" w:ascii="宋体" w:hAnsi="宋体" w:eastAsia="宋体"/>
          <w:lang w:val="en-US" w:eastAsia="zh-CN"/>
        </w:rPr>
        <w:t>(三)残疾人福利性单位声明函(如涉及)</w:t>
      </w:r>
      <w:bookmarkEnd w:id="351"/>
      <w:bookmarkEnd w:id="352"/>
    </w:p>
    <w:p w14:paraId="72F1933E">
      <w:pPr>
        <w:pStyle w:val="51"/>
        <w:keepNext w:val="0"/>
        <w:keepLines w:val="0"/>
        <w:widowControl w:val="0"/>
        <w:kinsoku/>
        <w:overflowPunct/>
        <w:autoSpaceDE/>
        <w:autoSpaceDN/>
        <w:bidi w:val="0"/>
        <w:spacing w:line="520" w:lineRule="exact"/>
        <w:textAlignment w:val="auto"/>
        <w:rPr>
          <w:rFonts w:hint="eastAsia"/>
        </w:rPr>
      </w:pPr>
      <w:r>
        <w:rPr>
          <w:rFonts w:hint="eastAsia"/>
        </w:rPr>
        <w:t>本单位郑重声明，</w:t>
      </w:r>
      <w:r>
        <w:rPr>
          <w:rFonts w:hint="eastAsia"/>
          <w:lang w:val="en-US" w:eastAsia="zh-CN"/>
        </w:rPr>
        <w:t>参照</w:t>
      </w:r>
      <w:r>
        <w:rPr>
          <w:rFonts w:hint="eastAsia"/>
        </w:rPr>
        <w:t>《财政部 民政部 中国残疾人联合会关于促进残疾人就业政府采购政策的通知》</w:t>
      </w:r>
      <w:r>
        <w:rPr>
          <w:rFonts w:hint="eastAsia"/>
          <w:lang w:eastAsia="zh-CN"/>
        </w:rPr>
        <w:t>(</w:t>
      </w:r>
      <w:r>
        <w:rPr>
          <w:rFonts w:hint="eastAsia"/>
        </w:rPr>
        <w:t>财库〔2017〕141号</w:t>
      </w:r>
      <w:r>
        <w:rPr>
          <w:rFonts w:hint="eastAsia"/>
          <w:lang w:eastAsia="zh-CN"/>
        </w:rPr>
        <w:t>)</w:t>
      </w:r>
      <w:r>
        <w:rPr>
          <w:rFonts w:hint="eastAsia"/>
        </w:rPr>
        <w:t>的规定，本单位为符合条件的残疾人福利性单位，且本单位参加</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rPr>
        <w:t>单位的</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rPr>
        <w:t>项目采购活动由本单位提供服务。</w:t>
      </w:r>
    </w:p>
    <w:p w14:paraId="701A4A95">
      <w:pPr>
        <w:pStyle w:val="51"/>
        <w:keepNext w:val="0"/>
        <w:keepLines w:val="0"/>
        <w:widowControl w:val="0"/>
        <w:kinsoku/>
        <w:overflowPunct/>
        <w:autoSpaceDE/>
        <w:autoSpaceDN/>
        <w:bidi w:val="0"/>
        <w:spacing w:line="520" w:lineRule="exact"/>
        <w:textAlignment w:val="auto"/>
        <w:rPr>
          <w:rFonts w:hint="eastAsia"/>
        </w:rPr>
      </w:pPr>
      <w:r>
        <w:rPr>
          <w:rFonts w:hint="eastAsia"/>
        </w:rPr>
        <w:t>本单位对上述声明的真实性负责。如有虚假，将依法承担相应责任。</w:t>
      </w:r>
    </w:p>
    <w:p w14:paraId="6A8EB0C8">
      <w:pPr>
        <w:pStyle w:val="48"/>
        <w:keepNext w:val="0"/>
        <w:keepLines w:val="0"/>
        <w:widowControl w:val="0"/>
        <w:kinsoku/>
        <w:overflowPunct/>
        <w:autoSpaceDE/>
        <w:autoSpaceDN/>
        <w:bidi w:val="0"/>
        <w:spacing w:line="520" w:lineRule="exact"/>
        <w:textAlignment w:val="auto"/>
        <w:rPr>
          <w:rFonts w:hint="eastAsia"/>
          <w:lang w:val="en-US" w:eastAsia="zh-CN"/>
        </w:rPr>
      </w:pPr>
    </w:p>
    <w:p w14:paraId="34538FDA">
      <w:pPr>
        <w:pStyle w:val="48"/>
        <w:keepNext w:val="0"/>
        <w:keepLines w:val="0"/>
        <w:widowControl w:val="0"/>
        <w:kinsoku/>
        <w:overflowPunct/>
        <w:autoSpaceDE/>
        <w:autoSpaceDN/>
        <w:bidi w:val="0"/>
        <w:spacing w:line="520" w:lineRule="exact"/>
        <w:textAlignment w:val="auto"/>
        <w:rPr>
          <w:rFonts w:hint="eastAsia"/>
        </w:rPr>
      </w:pPr>
    </w:p>
    <w:p w14:paraId="7B38D9C5">
      <w:pPr>
        <w:pStyle w:val="48"/>
        <w:keepNext w:val="0"/>
        <w:keepLines w:val="0"/>
        <w:widowControl w:val="0"/>
        <w:kinsoku/>
        <w:overflowPunct/>
        <w:autoSpaceDE/>
        <w:autoSpaceDN/>
        <w:bidi w:val="0"/>
        <w:spacing w:line="520" w:lineRule="exact"/>
        <w:textAlignment w:val="auto"/>
        <w:rPr>
          <w:rFonts w:hint="eastAsia"/>
        </w:rPr>
      </w:pPr>
    </w:p>
    <w:p w14:paraId="0521E9AA">
      <w:pPr>
        <w:pStyle w:val="48"/>
        <w:keepNext w:val="0"/>
        <w:keepLines w:val="0"/>
        <w:pageBreakBefore w:val="0"/>
        <w:widowControl w:val="0"/>
        <w:kinsoku/>
        <w:wordWrap w:val="0"/>
        <w:overflowPunct/>
        <w:topLinePunct/>
        <w:autoSpaceDE/>
        <w:autoSpaceDN/>
        <w:bidi w:val="0"/>
        <w:adjustRightInd w:val="0"/>
        <w:snapToGrid w:val="0"/>
        <w:spacing w:line="520" w:lineRule="exact"/>
        <w:ind w:left="4800" w:leftChars="2000"/>
        <w:textAlignment w:val="auto"/>
        <w:rPr>
          <w:rFonts w:hint="eastAsia"/>
        </w:rPr>
      </w:pPr>
      <w:r>
        <w:rPr>
          <w:rFonts w:hint="eastAsia"/>
        </w:rPr>
        <w:t>单位名称</w:t>
      </w:r>
      <w:r>
        <w:rPr>
          <w:rFonts w:hint="eastAsia"/>
          <w:lang w:eastAsia="zh-CN"/>
        </w:rPr>
        <w:t>：</w:t>
      </w:r>
      <w:r>
        <w:rPr>
          <w:rFonts w:hint="eastAsia"/>
          <w:u w:val="single"/>
          <w:lang w:val="en-US" w:eastAsia="zh-CN"/>
        </w:rPr>
        <w:t xml:space="preserve">             </w:t>
      </w:r>
      <w:r>
        <w:rPr>
          <w:rFonts w:hint="eastAsia"/>
          <w:lang w:val="en-US" w:eastAsia="zh-CN"/>
        </w:rPr>
        <w:t xml:space="preserve"> </w:t>
      </w:r>
      <w:r>
        <w:rPr>
          <w:rFonts w:hint="eastAsia"/>
          <w:lang w:eastAsia="zh-CN"/>
        </w:rPr>
        <w:t>(</w:t>
      </w:r>
      <w:r>
        <w:rPr>
          <w:rFonts w:hint="eastAsia"/>
        </w:rPr>
        <w:t>盖章</w:t>
      </w:r>
      <w:r>
        <w:rPr>
          <w:rFonts w:hint="eastAsia"/>
          <w:lang w:eastAsia="zh-CN"/>
        </w:rPr>
        <w:t>)</w:t>
      </w:r>
    </w:p>
    <w:p w14:paraId="542C7C0C">
      <w:pPr>
        <w:pStyle w:val="48"/>
        <w:keepNext w:val="0"/>
        <w:keepLines w:val="0"/>
        <w:pageBreakBefore w:val="0"/>
        <w:widowControl w:val="0"/>
        <w:kinsoku/>
        <w:wordWrap w:val="0"/>
        <w:overflowPunct/>
        <w:topLinePunct/>
        <w:autoSpaceDE/>
        <w:autoSpaceDN/>
        <w:bidi w:val="0"/>
        <w:adjustRightInd w:val="0"/>
        <w:snapToGrid w:val="0"/>
        <w:spacing w:line="520" w:lineRule="exact"/>
        <w:ind w:left="4800" w:leftChars="2000"/>
        <w:textAlignment w:val="auto"/>
        <w:rPr>
          <w:rFonts w:hint="eastAsia"/>
          <w:lang w:val="en-US" w:eastAsia="zh-CN"/>
        </w:rPr>
      </w:pPr>
      <w:r>
        <w:rPr>
          <w:rFonts w:hint="eastAsia"/>
        </w:rPr>
        <w:t xml:space="preserve">日  </w:t>
      </w:r>
      <w:r>
        <w:rPr>
          <w:rFonts w:hint="eastAsia"/>
          <w:lang w:val="en-US" w:eastAsia="zh-CN"/>
        </w:rPr>
        <w:t xml:space="preserve">  </w:t>
      </w:r>
      <w:r>
        <w:rPr>
          <w:rFonts w:hint="eastAsia"/>
        </w:rPr>
        <w:t>期：</w:t>
      </w:r>
      <w:r>
        <w:rPr>
          <w:rFonts w:hint="eastAsia"/>
          <w:u w:val="single"/>
          <w:lang w:val="en-US" w:eastAsia="zh-CN"/>
        </w:rPr>
        <w:t xml:space="preserve">             </w:t>
      </w:r>
      <w:r>
        <w:rPr>
          <w:rFonts w:hint="eastAsia"/>
          <w:lang w:val="en-US" w:eastAsia="zh-CN"/>
        </w:rPr>
        <w:t xml:space="preserve">   </w:t>
      </w:r>
    </w:p>
    <w:p w14:paraId="29C3C695">
      <w:pPr>
        <w:pStyle w:val="48"/>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b/>
          <w:bCs/>
          <w:lang w:val="en-US" w:eastAsia="zh-CN"/>
        </w:rPr>
      </w:pPr>
    </w:p>
    <w:p w14:paraId="62035E5E">
      <w:pPr>
        <w:pStyle w:val="48"/>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b/>
          <w:bCs/>
          <w:lang w:val="en-US" w:eastAsia="zh-CN"/>
        </w:rPr>
      </w:pPr>
    </w:p>
    <w:p w14:paraId="285B8F48">
      <w:pPr>
        <w:bidi w:val="0"/>
        <w:rPr>
          <w:rFonts w:hint="eastAsia"/>
          <w:b/>
          <w:bCs/>
          <w:lang w:val="en-US" w:eastAsia="zh-CN"/>
        </w:rPr>
      </w:pPr>
      <w:r>
        <w:rPr>
          <w:rFonts w:hint="eastAsia"/>
          <w:b/>
          <w:bCs/>
          <w:lang w:val="en-US" w:eastAsia="zh-CN"/>
        </w:rPr>
        <w:t>说明：残疾人福利性单位参加采购活动时，在参加采购活动时应当提供残疾人福利性单位声明函，否则将被作为无效响应处理。</w:t>
      </w:r>
    </w:p>
    <w:bookmarkEnd w:id="347"/>
    <w:p w14:paraId="5943614F">
      <w:pPr>
        <w:pStyle w:val="48"/>
        <w:bidi w:val="0"/>
        <w:rPr>
          <w:rFonts w:hint="eastAsia"/>
          <w:color w:val="000000" w:themeColor="text1"/>
          <w:highlight w:val="none"/>
          <w:lang w:val="en-US" w:eastAsia="zh-CN"/>
          <w14:textFill>
            <w14:solidFill>
              <w14:schemeClr w14:val="tx1"/>
            </w14:solidFill>
          </w14:textFill>
        </w:rPr>
      </w:pPr>
    </w:p>
    <w:p w14:paraId="2BEC4D9D">
      <w:pPr>
        <w:pStyle w:val="53"/>
        <w:bidi w:val="0"/>
        <w:rPr>
          <w:rFonts w:hint="eastAsia"/>
          <w:lang w:val="en-US" w:eastAsia="zh-CN"/>
        </w:rPr>
      </w:pPr>
    </w:p>
    <w:p w14:paraId="77AF98ED">
      <w:pPr>
        <w:pStyle w:val="48"/>
        <w:bidi w:val="0"/>
        <w:rPr>
          <w:rFonts w:hint="eastAsia"/>
          <w:lang w:val="en-US" w:eastAsia="zh-CN"/>
        </w:rPr>
      </w:pPr>
    </w:p>
    <w:p w14:paraId="19671C46">
      <w:pPr>
        <w:pStyle w:val="48"/>
        <w:bidi w:val="0"/>
        <w:rPr>
          <w:rFonts w:hint="eastAsia"/>
        </w:rPr>
      </w:pPr>
      <w:r>
        <w:rPr>
          <w:rFonts w:hint="eastAsia"/>
        </w:rPr>
        <w:br w:type="page"/>
      </w:r>
      <w:bookmarkStart w:id="353" w:name="_Toc18702"/>
    </w:p>
    <w:p w14:paraId="2D3BAE87">
      <w:pPr>
        <w:pStyle w:val="48"/>
        <w:bidi w:val="0"/>
        <w:rPr>
          <w:rFonts w:hint="eastAsia"/>
        </w:rPr>
      </w:pPr>
    </w:p>
    <w:p w14:paraId="5D713095">
      <w:pPr>
        <w:pStyle w:val="48"/>
        <w:bidi w:val="0"/>
        <w:rPr>
          <w:rFonts w:hint="eastAsia"/>
        </w:rPr>
      </w:pPr>
    </w:p>
    <w:p w14:paraId="4767BEB9">
      <w:pPr>
        <w:pStyle w:val="48"/>
        <w:bidi w:val="0"/>
        <w:rPr>
          <w:rFonts w:hint="eastAsia"/>
        </w:rPr>
      </w:pPr>
    </w:p>
    <w:p w14:paraId="0E1F6D57">
      <w:pPr>
        <w:pStyle w:val="48"/>
        <w:bidi w:val="0"/>
        <w:rPr>
          <w:rFonts w:hint="eastAsia"/>
        </w:rPr>
      </w:pPr>
    </w:p>
    <w:p w14:paraId="5B43EFBF">
      <w:pPr>
        <w:pStyle w:val="48"/>
        <w:bidi w:val="0"/>
        <w:rPr>
          <w:rFonts w:hint="eastAsia"/>
        </w:rPr>
      </w:pPr>
    </w:p>
    <w:p w14:paraId="432846B4">
      <w:pPr>
        <w:pStyle w:val="48"/>
        <w:bidi w:val="0"/>
        <w:rPr>
          <w:rFonts w:hint="eastAsia"/>
        </w:rPr>
      </w:pPr>
    </w:p>
    <w:p w14:paraId="0DAB276E">
      <w:pPr>
        <w:pStyle w:val="48"/>
        <w:bidi w:val="0"/>
        <w:rPr>
          <w:rFonts w:hint="eastAsia"/>
        </w:rPr>
      </w:pPr>
    </w:p>
    <w:p w14:paraId="21DFC5B4">
      <w:pPr>
        <w:pStyle w:val="48"/>
        <w:bidi w:val="0"/>
        <w:rPr>
          <w:rFonts w:hint="eastAsia"/>
        </w:rPr>
      </w:pPr>
    </w:p>
    <w:p w14:paraId="50FDADEB">
      <w:pPr>
        <w:pStyle w:val="48"/>
        <w:bidi w:val="0"/>
        <w:rPr>
          <w:rFonts w:hint="eastAsia"/>
        </w:rPr>
      </w:pPr>
    </w:p>
    <w:p w14:paraId="6F4A0BD3">
      <w:pPr>
        <w:pStyle w:val="48"/>
        <w:bidi w:val="0"/>
        <w:rPr>
          <w:rFonts w:hint="eastAsia"/>
        </w:rPr>
      </w:pPr>
      <w:bookmarkStart w:id="354" w:name="_Toc14607"/>
    </w:p>
    <w:p w14:paraId="6C0FD02C">
      <w:pPr>
        <w:pStyle w:val="48"/>
        <w:bidi w:val="0"/>
        <w:rPr>
          <w:rFonts w:hint="eastAsia"/>
        </w:rPr>
      </w:pPr>
    </w:p>
    <w:p w14:paraId="2400C709">
      <w:pPr>
        <w:pStyle w:val="48"/>
        <w:bidi w:val="0"/>
        <w:rPr>
          <w:rFonts w:hint="eastAsia"/>
        </w:rPr>
      </w:pPr>
    </w:p>
    <w:p w14:paraId="147C534E">
      <w:pPr>
        <w:pStyle w:val="48"/>
        <w:bidi w:val="0"/>
        <w:rPr>
          <w:rFonts w:hint="eastAsia"/>
        </w:rPr>
      </w:pPr>
    </w:p>
    <w:p w14:paraId="0B740C02">
      <w:pPr>
        <w:pStyle w:val="40"/>
        <w:numPr>
          <w:ilvl w:val="1"/>
          <w:numId w:val="0"/>
        </w:numPr>
        <w:bidi w:val="0"/>
        <w:jc w:val="center"/>
        <w:rPr>
          <w:rFonts w:hint="eastAsia"/>
          <w:sz w:val="32"/>
          <w:szCs w:val="32"/>
        </w:rPr>
      </w:pPr>
      <w:bookmarkStart w:id="355" w:name="_Toc14527"/>
      <w:bookmarkStart w:id="356" w:name="_Toc13478"/>
      <w:bookmarkStart w:id="357" w:name="_Toc5931"/>
      <w:r>
        <w:rPr>
          <w:rFonts w:hint="eastAsia"/>
          <w:sz w:val="32"/>
          <w:szCs w:val="32"/>
        </w:rPr>
        <w:t>第</w:t>
      </w:r>
      <w:r>
        <w:rPr>
          <w:rFonts w:hint="eastAsia"/>
          <w:sz w:val="32"/>
          <w:szCs w:val="32"/>
          <w:lang w:val="en-US" w:eastAsia="zh-CN"/>
        </w:rPr>
        <w:t>二</w:t>
      </w:r>
      <w:r>
        <w:rPr>
          <w:rFonts w:hint="eastAsia"/>
          <w:sz w:val="32"/>
          <w:szCs w:val="32"/>
        </w:rPr>
        <w:t>部分 其他</w:t>
      </w:r>
      <w:r>
        <w:rPr>
          <w:rFonts w:hint="eastAsia"/>
          <w:sz w:val="32"/>
          <w:szCs w:val="32"/>
          <w:lang w:val="en-US" w:eastAsia="zh-CN"/>
        </w:rPr>
        <w:t>响应</w:t>
      </w:r>
      <w:r>
        <w:rPr>
          <w:rFonts w:hint="eastAsia"/>
          <w:sz w:val="32"/>
          <w:szCs w:val="32"/>
        </w:rPr>
        <w:t>文件(格式)</w:t>
      </w:r>
      <w:bookmarkEnd w:id="354"/>
      <w:bookmarkEnd w:id="355"/>
      <w:bookmarkEnd w:id="356"/>
      <w:bookmarkEnd w:id="357"/>
    </w:p>
    <w:p w14:paraId="14A5542D">
      <w:pPr>
        <w:pStyle w:val="48"/>
        <w:bidi w:val="0"/>
        <w:rPr>
          <w:rFonts w:hint="eastAsia"/>
          <w:lang w:val="en-US" w:eastAsia="zh-CN"/>
        </w:rPr>
      </w:pPr>
      <w:bookmarkStart w:id="358" w:name="_Toc26038"/>
      <w:r>
        <w:rPr>
          <w:rFonts w:hint="eastAsia"/>
          <w:lang w:val="en-US" w:eastAsia="zh-CN"/>
        </w:rPr>
        <w:br w:type="page"/>
      </w:r>
    </w:p>
    <w:p w14:paraId="103C2548">
      <w:pPr>
        <w:pStyle w:val="49"/>
        <w:numPr>
          <w:ilvl w:val="0"/>
          <w:numId w:val="15"/>
        </w:numPr>
        <w:bidi w:val="0"/>
        <w:ind w:left="0" w:leftChars="0" w:firstLine="0" w:firstLineChars="0"/>
        <w:rPr>
          <w:rFonts w:hint="eastAsia"/>
          <w:lang w:val="en-US" w:eastAsia="zh-CN"/>
        </w:rPr>
      </w:pPr>
      <w:bookmarkStart w:id="359" w:name="_Toc19330"/>
      <w:bookmarkStart w:id="360" w:name="_Toc4208"/>
      <w:bookmarkStart w:id="361" w:name="_Toc10407"/>
      <w:bookmarkStart w:id="362" w:name="_Toc2311"/>
      <w:r>
        <w:rPr>
          <w:rFonts w:hint="eastAsia"/>
          <w:lang w:val="en-US" w:eastAsia="zh-CN"/>
        </w:rPr>
        <w:t>磋商函</w:t>
      </w:r>
      <w:bookmarkEnd w:id="353"/>
      <w:bookmarkEnd w:id="358"/>
      <w:bookmarkEnd w:id="359"/>
      <w:bookmarkEnd w:id="360"/>
      <w:bookmarkEnd w:id="361"/>
      <w:bookmarkEnd w:id="362"/>
    </w:p>
    <w:p w14:paraId="1219008F">
      <w:pPr>
        <w:pStyle w:val="48"/>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zh-CN"/>
        </w:rPr>
      </w:pPr>
      <w:r>
        <w:rPr>
          <w:rFonts w:hint="eastAsia"/>
          <w:lang w:val="zh-CN"/>
        </w:rPr>
        <w:t>致：四川乾新招投标代理有限公司　</w:t>
      </w:r>
    </w:p>
    <w:p w14:paraId="4C9DA024">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我方全面研究了“</w:t>
      </w:r>
      <w:r>
        <w:rPr>
          <w:rFonts w:hint="eastAsia"/>
          <w:u w:val="single"/>
        </w:rPr>
        <w:t xml:space="preserve">               </w:t>
      </w:r>
      <w:r>
        <w:rPr>
          <w:rFonts w:hint="eastAsia"/>
          <w:lang w:val="en-US" w:eastAsia="zh-CN"/>
        </w:rPr>
        <w:t>(项目名称)</w:t>
      </w:r>
      <w:r>
        <w:rPr>
          <w:rFonts w:hint="eastAsia"/>
        </w:rPr>
        <w:t>(项目编号：</w:t>
      </w:r>
      <w:r>
        <w:rPr>
          <w:rFonts w:hint="eastAsia"/>
          <w:u w:val="single"/>
        </w:rPr>
        <w:t xml:space="preserve">               </w:t>
      </w:r>
      <w:r>
        <w:rPr>
          <w:rFonts w:hint="eastAsia"/>
        </w:rPr>
        <w:t>)”</w:t>
      </w:r>
      <w:r>
        <w:rPr>
          <w:rFonts w:hint="eastAsia"/>
          <w:lang w:eastAsia="zh-CN"/>
        </w:rPr>
        <w:t>的</w:t>
      </w:r>
      <w:r>
        <w:rPr>
          <w:rFonts w:hint="eastAsia"/>
          <w:lang w:val="en-US" w:eastAsia="zh-CN"/>
        </w:rPr>
        <w:t>磋商</w:t>
      </w:r>
      <w:r>
        <w:rPr>
          <w:rFonts w:hint="eastAsia"/>
        </w:rPr>
        <w:t>文件，决定参加贵单位组织的本项目</w:t>
      </w:r>
      <w:r>
        <w:rPr>
          <w:rFonts w:hint="eastAsia"/>
          <w:highlight w:val="none"/>
          <w:lang w:val="en-US" w:eastAsia="zh-CN"/>
        </w:rPr>
        <w:t>的</w:t>
      </w:r>
      <w:r>
        <w:rPr>
          <w:rFonts w:hint="eastAsia"/>
          <w:lang w:val="en-US" w:eastAsia="zh-CN"/>
        </w:rPr>
        <w:t>采购活动</w:t>
      </w:r>
      <w:r>
        <w:rPr>
          <w:rFonts w:hint="eastAsia"/>
        </w:rPr>
        <w:t>。我方授权</w:t>
      </w:r>
      <w:r>
        <w:rPr>
          <w:rFonts w:hint="eastAsia"/>
          <w:u w:val="single"/>
        </w:rPr>
        <w:t xml:space="preserve">               </w:t>
      </w:r>
      <w:r>
        <w:rPr>
          <w:rFonts w:hint="eastAsia"/>
        </w:rPr>
        <w:t>(姓名、职务)代表我</w:t>
      </w:r>
      <w:r>
        <w:rPr>
          <w:rFonts w:hint="eastAsia"/>
          <w:lang w:val="en-US" w:eastAsia="zh-CN"/>
        </w:rPr>
        <w:t>方</w:t>
      </w:r>
      <w:r>
        <w:rPr>
          <w:rFonts w:hint="eastAsia"/>
          <w:u w:val="single"/>
        </w:rPr>
        <w:t xml:space="preserve">               </w:t>
      </w:r>
      <w:r>
        <w:rPr>
          <w:rFonts w:hint="eastAsia"/>
        </w:rPr>
        <w:t>(</w:t>
      </w:r>
      <w:r>
        <w:rPr>
          <w:rFonts w:hint="eastAsia"/>
          <w:lang w:val="en-US" w:eastAsia="zh-CN"/>
        </w:rPr>
        <w:t>供应商名称</w:t>
      </w:r>
      <w:r>
        <w:rPr>
          <w:rFonts w:hint="eastAsia"/>
        </w:rPr>
        <w:t>)全权处理本项目</w:t>
      </w:r>
      <w:r>
        <w:rPr>
          <w:rFonts w:hint="eastAsia"/>
          <w:lang w:val="en-US" w:eastAsia="zh-CN"/>
        </w:rPr>
        <w:t>磋商</w:t>
      </w:r>
      <w:r>
        <w:rPr>
          <w:rFonts w:hint="eastAsia"/>
        </w:rPr>
        <w:t>的有关事宜。</w:t>
      </w:r>
    </w:p>
    <w:p w14:paraId="4FA1013D">
      <w:pPr>
        <w:pStyle w:val="41"/>
        <w:keepNext w:val="0"/>
        <w:keepLines w:val="0"/>
        <w:pageBreakBefore w:val="0"/>
        <w:widowControl w:val="0"/>
        <w:numPr>
          <w:ilvl w:val="2"/>
          <w:numId w:val="16"/>
        </w:numPr>
        <w:kinsoku/>
        <w:wordWrap w:val="0"/>
        <w:overflowPunct/>
        <w:topLinePunct/>
        <w:autoSpaceDE/>
        <w:autoSpaceDN/>
        <w:bidi w:val="0"/>
        <w:adjustRightInd w:val="0"/>
        <w:snapToGrid w:val="0"/>
        <w:spacing w:line="520" w:lineRule="exact"/>
        <w:ind w:leftChars="0" w:firstLine="480" w:firstLineChars="200"/>
        <w:textAlignment w:val="auto"/>
        <w:rPr>
          <w:rFonts w:hint="eastAsia"/>
        </w:rPr>
      </w:pPr>
      <w:r>
        <w:rPr>
          <w:rFonts w:hint="eastAsia"/>
        </w:rPr>
        <w:t>我方自愿按照</w:t>
      </w:r>
      <w:r>
        <w:rPr>
          <w:rFonts w:hint="eastAsia"/>
          <w:lang w:val="en-US" w:eastAsia="zh-CN"/>
        </w:rPr>
        <w:t>磋商</w:t>
      </w:r>
      <w:r>
        <w:rPr>
          <w:rFonts w:hint="eastAsia"/>
        </w:rPr>
        <w:t>文件规定的各项要求向采购人提供所需</w:t>
      </w:r>
      <w:r>
        <w:rPr>
          <w:rFonts w:hint="eastAsia"/>
          <w:lang w:eastAsia="zh-CN"/>
        </w:rPr>
        <w:t>相应服务</w:t>
      </w:r>
      <w:r>
        <w:rPr>
          <w:rFonts w:hint="eastAsia"/>
        </w:rPr>
        <w:t>。</w:t>
      </w:r>
    </w:p>
    <w:p w14:paraId="1537FC75">
      <w:pPr>
        <w:pStyle w:val="41"/>
        <w:keepNext w:val="0"/>
        <w:keepLines w:val="0"/>
        <w:pageBreakBefore w:val="0"/>
        <w:widowControl w:val="0"/>
        <w:numPr>
          <w:ilvl w:val="2"/>
          <w:numId w:val="16"/>
        </w:numPr>
        <w:kinsoku/>
        <w:wordWrap w:val="0"/>
        <w:overflowPunct/>
        <w:topLinePunct/>
        <w:autoSpaceDE/>
        <w:autoSpaceDN/>
        <w:bidi w:val="0"/>
        <w:adjustRightInd w:val="0"/>
        <w:snapToGrid w:val="0"/>
        <w:spacing w:line="520" w:lineRule="exact"/>
        <w:ind w:leftChars="0" w:firstLine="480" w:firstLineChars="200"/>
        <w:textAlignment w:val="auto"/>
        <w:rPr>
          <w:rFonts w:hint="eastAsia"/>
        </w:rPr>
      </w:pPr>
      <w:r>
        <w:rPr>
          <w:rFonts w:hint="eastAsia"/>
        </w:rPr>
        <w:t>我方承诺：</w:t>
      </w:r>
      <w:r>
        <w:rPr>
          <w:rFonts w:hint="eastAsia"/>
          <w:lang w:val="en-US" w:eastAsia="zh-CN"/>
        </w:rPr>
        <w:t>磋商</w:t>
      </w:r>
      <w:r>
        <w:rPr>
          <w:rFonts w:hint="eastAsia"/>
        </w:rPr>
        <w:t>有效期为</w:t>
      </w:r>
      <w:r>
        <w:rPr>
          <w:rFonts w:hint="eastAsia"/>
          <w:u w:val="single"/>
          <w:lang w:val="en-US" w:eastAsia="zh-CN"/>
        </w:rPr>
        <w:t xml:space="preserve">                    </w:t>
      </w:r>
      <w:r>
        <w:rPr>
          <w:rFonts w:hint="eastAsia"/>
          <w:u w:val="none"/>
          <w:lang w:val="en-US" w:eastAsia="zh-CN"/>
        </w:rPr>
        <w:t>，在此期间内不修改、撤销响应文件</w:t>
      </w:r>
      <w:r>
        <w:rPr>
          <w:rFonts w:hint="eastAsia"/>
        </w:rPr>
        <w:t>。</w:t>
      </w:r>
    </w:p>
    <w:p w14:paraId="65188024">
      <w:pPr>
        <w:pStyle w:val="41"/>
        <w:keepNext w:val="0"/>
        <w:keepLines w:val="0"/>
        <w:pageBreakBefore w:val="0"/>
        <w:widowControl w:val="0"/>
        <w:numPr>
          <w:ilvl w:val="2"/>
          <w:numId w:val="16"/>
        </w:numPr>
        <w:kinsoku/>
        <w:wordWrap w:val="0"/>
        <w:overflowPunct/>
        <w:topLinePunct/>
        <w:autoSpaceDE/>
        <w:autoSpaceDN/>
        <w:bidi w:val="0"/>
        <w:adjustRightInd w:val="0"/>
        <w:snapToGrid w:val="0"/>
        <w:spacing w:line="520" w:lineRule="exact"/>
        <w:ind w:leftChars="0" w:firstLine="480" w:firstLineChars="200"/>
        <w:textAlignment w:val="auto"/>
        <w:rPr>
          <w:rFonts w:hint="eastAsia"/>
        </w:rPr>
      </w:pPr>
      <w:r>
        <w:rPr>
          <w:rFonts w:hint="eastAsia"/>
        </w:rPr>
        <w:t>如我方成交：</w:t>
      </w:r>
    </w:p>
    <w:p w14:paraId="58F4D3F5">
      <w:pPr>
        <w:pStyle w:val="42"/>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highlight w:val="none"/>
        </w:rPr>
        <w:t>我方承诺</w:t>
      </w:r>
      <w:r>
        <w:rPr>
          <w:rFonts w:hint="eastAsia"/>
          <w:highlight w:val="none"/>
          <w:lang w:val="en-US" w:eastAsia="zh-CN"/>
        </w:rPr>
        <w:t>积极配合招标代理机构办理领取成交通知书事宜，同时</w:t>
      </w:r>
      <w:r>
        <w:rPr>
          <w:rFonts w:hint="eastAsia"/>
          <w:highlight w:val="none"/>
        </w:rPr>
        <w:t>在收到</w:t>
      </w:r>
      <w:r>
        <w:rPr>
          <w:rFonts w:hint="eastAsia"/>
          <w:highlight w:val="none"/>
          <w:lang w:val="en-US" w:eastAsia="zh-CN"/>
        </w:rPr>
        <w:t>成交</w:t>
      </w:r>
      <w:r>
        <w:rPr>
          <w:rFonts w:hint="eastAsia"/>
          <w:highlight w:val="none"/>
        </w:rPr>
        <w:t>通知书后，在规定的期限内与采购人签订合同</w:t>
      </w:r>
      <w:r>
        <w:rPr>
          <w:rFonts w:hint="eastAsia"/>
        </w:rPr>
        <w:t>。</w:t>
      </w:r>
    </w:p>
    <w:p w14:paraId="409AC2EA">
      <w:pPr>
        <w:pStyle w:val="42"/>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rPr>
        <w:t>我方承诺按照磋商文件规定的金额和方式向采购人缴纳履约保证金</w:t>
      </w:r>
      <w:r>
        <w:rPr>
          <w:rFonts w:hint="eastAsia"/>
          <w:lang w:eastAsia="zh-CN"/>
        </w:rPr>
        <w:t>。</w:t>
      </w:r>
    </w:p>
    <w:p w14:paraId="14AD62FF">
      <w:pPr>
        <w:pStyle w:val="42"/>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rPr>
        <w:t>我方将严格履行采购合同规定的责任和义务。</w:t>
      </w:r>
    </w:p>
    <w:p w14:paraId="52DF3EAC">
      <w:pPr>
        <w:pStyle w:val="42"/>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rPr>
        <w:t>我方愿意提供贵单位可能另外要求的，与磋商报价有关的文件资料，并保证我方已提供和将要提供的文件资料是真实、准确的。</w:t>
      </w:r>
    </w:p>
    <w:p w14:paraId="359F668B">
      <w:pPr>
        <w:pStyle w:val="42"/>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rPr>
        <w:t>我方自愿按照磋商文件规定的各项要求完成</w:t>
      </w:r>
      <w:r>
        <w:rPr>
          <w:rFonts w:hint="eastAsia"/>
          <w:lang w:val="en-US" w:eastAsia="zh-CN"/>
        </w:rPr>
        <w:t>采购</w:t>
      </w:r>
      <w:r>
        <w:rPr>
          <w:rFonts w:hint="eastAsia"/>
        </w:rPr>
        <w:t>项目，最后报价以《最后报价表》为准，接受采购人按照采购合同约定金额支付采购资金。</w:t>
      </w:r>
    </w:p>
    <w:p w14:paraId="67B0FD31">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highlight w:val="none"/>
        </w:rPr>
      </w:pPr>
      <w:r>
        <w:rPr>
          <w:rFonts w:hint="eastAsia"/>
          <w:highlight w:val="none"/>
          <w:lang w:val="en-US" w:eastAsia="zh-CN"/>
        </w:rPr>
        <w:t>4.我方在参加本次采购活动中，涉及的询问、邮寄(快递)成交通知书等采购相关文书资料</w:t>
      </w:r>
      <w:r>
        <w:rPr>
          <w:rFonts w:hint="eastAsia"/>
          <w:highlight w:val="none"/>
        </w:rPr>
        <w:t>送达地址</w:t>
      </w:r>
      <w:r>
        <w:rPr>
          <w:rFonts w:hint="eastAsia"/>
          <w:highlight w:val="none"/>
          <w:lang w:val="en-US" w:eastAsia="zh-CN"/>
        </w:rPr>
        <w:t>为：</w:t>
      </w:r>
      <w:r>
        <w:rPr>
          <w:rFonts w:hint="eastAsia"/>
          <w:highlight w:val="none"/>
          <w:u w:val="single"/>
          <w:lang w:val="en-US" w:eastAsia="zh-CN"/>
        </w:rPr>
        <w:t xml:space="preserve">                                     </w:t>
      </w:r>
      <w:r>
        <w:rPr>
          <w:rFonts w:hint="eastAsia"/>
          <w:highlight w:val="none"/>
          <w:lang w:eastAsia="zh-CN"/>
        </w:rPr>
        <w:t>；</w:t>
      </w:r>
      <w:r>
        <w:rPr>
          <w:rFonts w:hint="eastAsia"/>
          <w:highlight w:val="none"/>
          <w:lang w:val="en-US" w:eastAsia="zh-CN"/>
        </w:rPr>
        <w:t>联系人：</w:t>
      </w:r>
      <w:r>
        <w:rPr>
          <w:rFonts w:hint="eastAsia"/>
          <w:highlight w:val="none"/>
          <w:u w:val="single"/>
          <w:lang w:val="en-US" w:eastAsia="zh-CN"/>
        </w:rPr>
        <w:t xml:space="preserve">           </w:t>
      </w:r>
      <w:r>
        <w:rPr>
          <w:rFonts w:hint="eastAsia"/>
          <w:highlight w:val="none"/>
          <w:lang w:val="en-US" w:eastAsia="zh-CN"/>
        </w:rPr>
        <w:t>；联系电话：</w:t>
      </w:r>
      <w:r>
        <w:rPr>
          <w:rFonts w:hint="eastAsia"/>
          <w:highlight w:val="none"/>
          <w:u w:val="single"/>
          <w:lang w:val="en-US" w:eastAsia="zh-CN"/>
        </w:rPr>
        <w:t xml:space="preserve">            </w:t>
      </w:r>
      <w:r>
        <w:rPr>
          <w:rFonts w:hint="eastAsia"/>
          <w:highlight w:val="none"/>
          <w:lang w:val="en-US" w:eastAsia="zh-CN"/>
        </w:rPr>
        <w:t>，如</w:t>
      </w:r>
      <w:r>
        <w:rPr>
          <w:rFonts w:hint="eastAsia"/>
          <w:highlight w:val="none"/>
        </w:rPr>
        <w:t>在</w:t>
      </w:r>
      <w:r>
        <w:rPr>
          <w:rFonts w:hint="eastAsia"/>
          <w:highlight w:val="none"/>
          <w:lang w:val="en-US" w:eastAsia="zh-CN"/>
        </w:rPr>
        <w:t>采购结果公告发布</w:t>
      </w:r>
      <w:r>
        <w:rPr>
          <w:rFonts w:hint="eastAsia"/>
          <w:highlight w:val="none"/>
        </w:rPr>
        <w:t>前变更送达地址的，</w:t>
      </w:r>
      <w:r>
        <w:rPr>
          <w:rFonts w:hint="eastAsia"/>
          <w:highlight w:val="none"/>
          <w:lang w:val="en-US" w:eastAsia="zh-CN"/>
        </w:rPr>
        <w:t>将</w:t>
      </w:r>
      <w:r>
        <w:rPr>
          <w:rFonts w:hint="eastAsia"/>
          <w:highlight w:val="none"/>
        </w:rPr>
        <w:t>及时以书面方式告知</w:t>
      </w:r>
      <w:r>
        <w:rPr>
          <w:rFonts w:hint="eastAsia"/>
          <w:highlight w:val="none"/>
          <w:lang w:val="en-US" w:eastAsia="zh-CN"/>
        </w:rPr>
        <w:t>贵公司</w:t>
      </w:r>
      <w:r>
        <w:rPr>
          <w:rFonts w:hint="eastAsia"/>
          <w:highlight w:val="none"/>
        </w:rPr>
        <w:t>。</w:t>
      </w:r>
    </w:p>
    <w:p w14:paraId="41263645">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rPr>
      </w:pPr>
      <w:r>
        <w:rPr>
          <w:rFonts w:hint="eastAsia"/>
          <w:lang w:val="en-US" w:eastAsia="zh-CN"/>
        </w:rPr>
        <w:t>4.1我方承诺：如未</w:t>
      </w:r>
      <w:r>
        <w:rPr>
          <w:rFonts w:hint="eastAsia"/>
        </w:rPr>
        <w:t>提供自己的送达地址，经</w:t>
      </w:r>
      <w:r>
        <w:rPr>
          <w:rFonts w:hint="eastAsia"/>
          <w:lang w:val="en-US" w:eastAsia="zh-CN"/>
        </w:rPr>
        <w:t>招标代理机构</w:t>
      </w:r>
      <w:r>
        <w:rPr>
          <w:rFonts w:hint="eastAsia"/>
        </w:rPr>
        <w:t>告知后仍不提供的，自然人以其户籍登记中的住所地为送达地址;法人或者其他组织以其工商登记或者其他依法登记、备案中的住所地为送达地址。</w:t>
      </w:r>
    </w:p>
    <w:p w14:paraId="6A7AA750">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leftChars="0" w:firstLine="480" w:firstLineChars="200"/>
        <w:textAlignment w:val="auto"/>
        <w:rPr>
          <w:rFonts w:hint="eastAsia"/>
        </w:rPr>
      </w:pPr>
      <w:r>
        <w:rPr>
          <w:rFonts w:hint="eastAsia"/>
          <w:lang w:val="en-US" w:eastAsia="zh-CN"/>
        </w:rPr>
        <w:t>4.2</w:t>
      </w:r>
      <w:r>
        <w:rPr>
          <w:rFonts w:hint="eastAsia"/>
        </w:rPr>
        <w:t>因</w:t>
      </w:r>
      <w:r>
        <w:rPr>
          <w:rFonts w:hint="eastAsia"/>
          <w:lang w:val="en-US" w:eastAsia="zh-CN"/>
        </w:rPr>
        <w:t>我方</w:t>
      </w:r>
      <w:r>
        <w:rPr>
          <w:rFonts w:hint="eastAsia"/>
        </w:rPr>
        <w:t>提供的送达地址不准确</w:t>
      </w:r>
      <w:r>
        <w:rPr>
          <w:rFonts w:hint="eastAsia"/>
          <w:lang w:eastAsia="zh-CN"/>
        </w:rPr>
        <w:t>、</w:t>
      </w:r>
      <w:r>
        <w:rPr>
          <w:rFonts w:hint="eastAsia"/>
        </w:rPr>
        <w:t>拒不提供送达地址、送达地址变更未及时告知</w:t>
      </w:r>
      <w:r>
        <w:rPr>
          <w:rFonts w:hint="eastAsia"/>
          <w:lang w:val="en-US" w:eastAsia="zh-CN"/>
        </w:rPr>
        <w:t>招标代理机构</w:t>
      </w:r>
      <w:r>
        <w:rPr>
          <w:rFonts w:hint="eastAsia"/>
        </w:rPr>
        <w:t>、受送达人本人或者受送达人指定的代收人拒绝签收，导致</w:t>
      </w:r>
      <w:r>
        <w:rPr>
          <w:rFonts w:hint="eastAsia"/>
          <w:lang w:val="en-US" w:eastAsia="zh-CN"/>
        </w:rPr>
        <w:t>采购</w:t>
      </w:r>
      <w:r>
        <w:rPr>
          <w:rFonts w:hint="eastAsia"/>
        </w:rPr>
        <w:t>文书</w:t>
      </w:r>
      <w:r>
        <w:rPr>
          <w:rFonts w:hint="eastAsia"/>
          <w:lang w:val="en-US" w:eastAsia="zh-CN"/>
        </w:rPr>
        <w:t>等资料</w:t>
      </w:r>
      <w:r>
        <w:rPr>
          <w:rFonts w:hint="eastAsia"/>
        </w:rPr>
        <w:t>未能被受送达人实际接收的，</w:t>
      </w:r>
      <w:r>
        <w:rPr>
          <w:rFonts w:hint="eastAsia"/>
          <w:lang w:val="en-US" w:eastAsia="zh-CN"/>
        </w:rPr>
        <w:t>采购</w:t>
      </w:r>
      <w:r>
        <w:rPr>
          <w:rFonts w:hint="eastAsia"/>
        </w:rPr>
        <w:t>文书退回之日视为送达之日。邮寄送达的，邮件回执上注明的退回之日视为送达之日</w:t>
      </w:r>
      <w:r>
        <w:rPr>
          <w:rFonts w:hint="eastAsia"/>
          <w:lang w:eastAsia="zh-CN"/>
        </w:rPr>
        <w:t>；</w:t>
      </w:r>
      <w:r>
        <w:rPr>
          <w:rFonts w:hint="eastAsia"/>
        </w:rPr>
        <w:t>直接送达的，送达人当场在送达</w:t>
      </w:r>
      <w:r>
        <w:rPr>
          <w:rFonts w:hint="eastAsia"/>
          <w:lang w:val="en-US" w:eastAsia="zh-CN"/>
        </w:rPr>
        <w:t>回执</w:t>
      </w:r>
      <w:r>
        <w:rPr>
          <w:rFonts w:hint="eastAsia"/>
        </w:rPr>
        <w:t>上</w:t>
      </w:r>
      <w:r>
        <w:rPr>
          <w:rFonts w:hint="eastAsia"/>
          <w:lang w:val="en-US" w:eastAsia="zh-CN"/>
        </w:rPr>
        <w:t>签收</w:t>
      </w:r>
      <w:r>
        <w:rPr>
          <w:rFonts w:hint="eastAsia"/>
        </w:rPr>
        <w:t>之日视为送达之日。</w:t>
      </w:r>
    </w:p>
    <w:p w14:paraId="7A720CA0">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u w:val="none"/>
          <w:lang w:val="zh-CN"/>
        </w:rPr>
      </w:pPr>
      <w:r>
        <w:rPr>
          <w:rFonts w:hint="eastAsia"/>
          <w:u w:val="none"/>
          <w:lang w:val="en-US" w:eastAsia="zh-CN"/>
        </w:rPr>
        <w:t>5.参照</w:t>
      </w:r>
      <w:r>
        <w:rPr>
          <w:rFonts w:hint="eastAsia"/>
          <w:u w:val="none"/>
          <w:lang w:val="zh-CN"/>
        </w:rPr>
        <w:t>《中华人民共和国政府采购法实施条例》第四十三条的规定，公告内容应当包括主要</w:t>
      </w:r>
      <w:r>
        <w:rPr>
          <w:rFonts w:hint="eastAsia"/>
          <w:u w:val="none"/>
          <w:lang w:val="en-US" w:eastAsia="zh-CN"/>
        </w:rPr>
        <w:t>成交</w:t>
      </w:r>
      <w:r>
        <w:rPr>
          <w:rFonts w:hint="eastAsia"/>
          <w:u w:val="none"/>
          <w:lang w:val="zh-CN"/>
        </w:rPr>
        <w:t>标的的名称、规格型号、数量、单价、服务要求以及评审专家名单。</w:t>
      </w:r>
      <w:r>
        <w:rPr>
          <w:rFonts w:hint="eastAsia"/>
          <w:u w:val="none"/>
          <w:lang w:val="en-US" w:eastAsia="zh-CN"/>
        </w:rPr>
        <w:t>我方已</w:t>
      </w:r>
      <w:r>
        <w:rPr>
          <w:rFonts w:hint="eastAsia"/>
          <w:u w:val="none"/>
          <w:lang w:val="zh-CN"/>
        </w:rPr>
        <w:t>将</w:t>
      </w:r>
      <w:r>
        <w:rPr>
          <w:rFonts w:hint="eastAsia"/>
          <w:u w:val="none"/>
          <w:lang w:val="en-US" w:eastAsia="zh-CN"/>
        </w:rPr>
        <w:t>响应</w:t>
      </w:r>
      <w:r>
        <w:rPr>
          <w:rFonts w:hint="eastAsia"/>
          <w:u w:val="none"/>
          <w:lang w:val="zh-CN"/>
        </w:rPr>
        <w:t>文件中涉及商业秘密和知识产权的内容进行标注和说明。若未进行标注和说明的，视为全部内容均可公布，采购人或者采购代理机构对此不承担任何责任。</w:t>
      </w:r>
    </w:p>
    <w:p w14:paraId="42F79130">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u w:val="none"/>
          <w:lang w:val="en-US" w:eastAsia="zh-CN"/>
        </w:rPr>
      </w:pPr>
      <w:r>
        <w:rPr>
          <w:rFonts w:hint="eastAsia"/>
          <w:u w:val="none"/>
          <w:lang w:val="en-US" w:eastAsia="zh-CN"/>
        </w:rPr>
        <w:t>6.</w:t>
      </w:r>
      <w:r>
        <w:rPr>
          <w:rFonts w:hint="eastAsia" w:ascii="宋体" w:hAnsi="宋体" w:eastAsia="宋体"/>
          <w:u w:val="none"/>
          <w:lang w:val="en-US" w:eastAsia="zh-CN"/>
        </w:rPr>
        <w:t>我方</w:t>
      </w:r>
      <w:r>
        <w:rPr>
          <w:rFonts w:hint="eastAsia" w:ascii="宋体" w:hAnsi="宋体" w:eastAsia="宋体"/>
          <w:u w:val="single"/>
          <w:lang w:val="en-US" w:eastAsia="zh-CN"/>
        </w:rPr>
        <w:t xml:space="preserve">      </w:t>
      </w:r>
      <w:r>
        <w:rPr>
          <w:rFonts w:hint="eastAsia" w:ascii="宋体" w:hAnsi="宋体" w:eastAsia="宋体"/>
          <w:u w:val="none"/>
          <w:lang w:val="en-US" w:eastAsia="zh-CN"/>
        </w:rPr>
        <w:t>(“有”或“没有”)《关于对政府采购领域严重违法失信主体开展联合惩戒的合作备忘录》的通知</w:t>
      </w:r>
      <w:r>
        <w:rPr>
          <w:rFonts w:hint="eastAsia"/>
          <w:u w:val="none"/>
          <w:lang w:val="en-US" w:eastAsia="zh-CN"/>
        </w:rPr>
        <w:t>(</w:t>
      </w:r>
      <w:r>
        <w:rPr>
          <w:rFonts w:hint="eastAsia" w:ascii="宋体" w:hAnsi="宋体" w:eastAsia="宋体"/>
          <w:u w:val="none"/>
          <w:lang w:val="en-US" w:eastAsia="zh-CN"/>
        </w:rPr>
        <w:t>发改财金〔2018〕1614号</w:t>
      </w:r>
      <w:r>
        <w:rPr>
          <w:rFonts w:hint="eastAsia"/>
          <w:u w:val="none"/>
          <w:lang w:val="en-US" w:eastAsia="zh-CN"/>
        </w:rPr>
        <w:t>)</w:t>
      </w:r>
      <w:r>
        <w:rPr>
          <w:rFonts w:hint="eastAsia" w:ascii="宋体" w:hAnsi="宋体" w:eastAsia="宋体" w:cstheme="minorBidi"/>
          <w:i w:val="0"/>
          <w:iCs w:val="0"/>
          <w:caps w:val="0"/>
          <w:spacing w:val="0"/>
          <w:sz w:val="24"/>
          <w:szCs w:val="24"/>
          <w:u w:val="none"/>
          <w:shd w:val="clear"/>
          <w:lang w:val="en-US" w:eastAsia="zh-CN"/>
        </w:rPr>
        <w:t>规定的记入诚信档案的严重失信行为。如有，请如实列举：1.2.3.</w:t>
      </w:r>
      <w:r>
        <w:rPr>
          <w:rFonts w:hint="eastAsia" w:ascii="微软雅黑" w:hAnsi="微软雅黑" w:eastAsia="微软雅黑" w:cs="微软雅黑"/>
          <w:i w:val="0"/>
          <w:iCs w:val="0"/>
          <w:caps w:val="0"/>
          <w:spacing w:val="0"/>
          <w:sz w:val="24"/>
          <w:szCs w:val="24"/>
          <w:u w:val="none"/>
          <w:shd w:val="clear"/>
          <w:lang w:val="en-US" w:eastAsia="zh-CN"/>
        </w:rPr>
        <w:t>……。</w:t>
      </w:r>
    </w:p>
    <w:p w14:paraId="7033A635">
      <w:pPr>
        <w:pStyle w:val="41"/>
        <w:keepNext w:val="0"/>
        <w:keepLines w:val="0"/>
        <w:pageBreakBefore w:val="0"/>
        <w:widowControl w:val="0"/>
        <w:numPr>
          <w:ilvl w:val="2"/>
          <w:numId w:val="0"/>
        </w:numPr>
        <w:kinsoku/>
        <w:wordWrap w:val="0"/>
        <w:overflowPunct/>
        <w:topLinePunct/>
        <w:autoSpaceDE/>
        <w:autoSpaceDN/>
        <w:bidi w:val="0"/>
        <w:adjustRightInd w:val="0"/>
        <w:snapToGrid w:val="0"/>
        <w:spacing w:line="520" w:lineRule="exact"/>
        <w:ind w:firstLine="480" w:firstLineChars="200"/>
        <w:textAlignment w:val="auto"/>
        <w:rPr>
          <w:rFonts w:hint="eastAsia"/>
        </w:rPr>
      </w:pPr>
      <w:r>
        <w:rPr>
          <w:rFonts w:hint="eastAsia"/>
          <w:lang w:val="en-US" w:eastAsia="zh-CN"/>
        </w:rPr>
        <w:t>7.我方如对磋商文件有异议，已经在响应文件递交截止时间</w:t>
      </w:r>
      <w:r>
        <w:rPr>
          <w:rFonts w:hint="eastAsia"/>
        </w:rPr>
        <w:t>届满前依法进行维权救济，不存在对</w:t>
      </w:r>
      <w:r>
        <w:rPr>
          <w:rFonts w:hint="eastAsia"/>
          <w:lang w:val="en-US" w:eastAsia="zh-CN"/>
        </w:rPr>
        <w:t>磋商</w:t>
      </w:r>
      <w:r>
        <w:rPr>
          <w:rFonts w:hint="eastAsia"/>
          <w:lang w:eastAsia="zh-CN"/>
        </w:rPr>
        <w:t>文件</w:t>
      </w:r>
      <w:r>
        <w:rPr>
          <w:rFonts w:hint="eastAsia"/>
        </w:rPr>
        <w:t>有异议的同时又参加</w:t>
      </w:r>
      <w:r>
        <w:rPr>
          <w:rFonts w:hint="eastAsia"/>
          <w:lang w:val="en-US" w:eastAsia="zh-CN"/>
        </w:rPr>
        <w:t>磋商</w:t>
      </w:r>
      <w:r>
        <w:rPr>
          <w:rFonts w:hint="eastAsia"/>
        </w:rPr>
        <w:t>以求侥幸</w:t>
      </w:r>
      <w:r>
        <w:rPr>
          <w:rFonts w:hint="eastAsia"/>
          <w:lang w:val="en-US" w:eastAsia="zh-CN"/>
        </w:rPr>
        <w:t>成交</w:t>
      </w:r>
      <w:r>
        <w:rPr>
          <w:rFonts w:hint="eastAsia"/>
        </w:rPr>
        <w:t>或者为实现其他非法目的的行为</w:t>
      </w:r>
      <w:r>
        <w:rPr>
          <w:rFonts w:hint="eastAsia"/>
          <w:lang w:eastAsia="zh-CN"/>
        </w:rPr>
        <w:t>。</w:t>
      </w:r>
    </w:p>
    <w:p w14:paraId="6703AA9C">
      <w:pPr>
        <w:pStyle w:val="48"/>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lang w:val="en-US" w:eastAsia="zh-CN"/>
        </w:rPr>
      </w:pPr>
    </w:p>
    <w:p w14:paraId="702B3DC1">
      <w:pPr>
        <w:pStyle w:val="48"/>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lang w:val="en-US" w:eastAsia="zh-CN"/>
        </w:rPr>
        <w:t>供应商</w:t>
      </w:r>
      <w:r>
        <w:rPr>
          <w:rFonts w:hint="eastAsia"/>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(盖章)</w:t>
      </w:r>
    </w:p>
    <w:p w14:paraId="16999339">
      <w:pPr>
        <w:pStyle w:val="48"/>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(签字</w:t>
      </w:r>
      <w:r>
        <w:rPr>
          <w:rFonts w:hint="eastAsia"/>
          <w:lang w:eastAsia="zh-CN"/>
        </w:rPr>
        <w:t>或盖章</w:t>
      </w:r>
      <w:r>
        <w:rPr>
          <w:rFonts w:hint="eastAsia"/>
        </w:rPr>
        <w:t>)</w:t>
      </w:r>
    </w:p>
    <w:p w14:paraId="7A4DDCA3">
      <w:pPr>
        <w:pStyle w:val="48"/>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rPr>
        <w:t>邮政编码：</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 xml:space="preserve">               </w:t>
      </w:r>
    </w:p>
    <w:p w14:paraId="38493029">
      <w:pPr>
        <w:pStyle w:val="48"/>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lang w:val="en-US" w:eastAsia="zh-CN"/>
        </w:rPr>
        <w:t>联系人：</w:t>
      </w:r>
      <w:r>
        <w:rPr>
          <w:rFonts w:hint="eastAsia" w:cs="宋体"/>
          <w:bCs/>
          <w:u w:val="single"/>
        </w:rPr>
        <w:t xml:space="preserve">          </w:t>
      </w:r>
      <w:r>
        <w:rPr>
          <w:rFonts w:hint="eastAsia" w:cs="宋体"/>
          <w:bCs/>
          <w:u w:val="single"/>
          <w:lang w:val="en-US" w:eastAsia="zh-CN"/>
        </w:rPr>
        <w:t xml:space="preserve">  </w:t>
      </w:r>
      <w:r>
        <w:rPr>
          <w:rFonts w:hint="eastAsia" w:cs="宋体"/>
          <w:bCs/>
          <w:u w:val="single"/>
        </w:rPr>
        <w:t xml:space="preserve">     </w:t>
      </w:r>
    </w:p>
    <w:p w14:paraId="1D5CC52A">
      <w:pPr>
        <w:pStyle w:val="48"/>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rPr>
        <w:t>联系电话：</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 xml:space="preserve">               </w:t>
      </w:r>
    </w:p>
    <w:p w14:paraId="706E3A23">
      <w:pPr>
        <w:pStyle w:val="48"/>
        <w:keepNext w:val="0"/>
        <w:keepLines w:val="0"/>
        <w:pageBreakBefore w:val="0"/>
        <w:widowControl w:val="0"/>
        <w:kinsoku/>
        <w:wordWrap w:val="0"/>
        <w:overflowPunct/>
        <w:topLinePunct/>
        <w:autoSpaceDE/>
        <w:autoSpaceDN/>
        <w:bidi w:val="0"/>
        <w:adjustRightInd w:val="0"/>
        <w:snapToGrid w:val="0"/>
        <w:spacing w:line="440" w:lineRule="exact"/>
        <w:ind w:firstLine="480" w:firstLineChars="200"/>
        <w:textAlignment w:val="auto"/>
        <w:rPr>
          <w:rFonts w:hint="eastAsia"/>
        </w:rPr>
      </w:pPr>
      <w:r>
        <w:rPr>
          <w:rFonts w:hint="eastAsia"/>
          <w:lang w:val="en-US" w:eastAsia="zh-CN"/>
        </w:rPr>
        <w:t>磋商</w:t>
      </w:r>
      <w:r>
        <w:rPr>
          <w:rFonts w:hint="eastAsia"/>
        </w:rPr>
        <w:t>日期：</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 xml:space="preserve">               </w:t>
      </w:r>
    </w:p>
    <w:p w14:paraId="5E1AAF02">
      <w:pPr>
        <w:rPr>
          <w:rFonts w:hint="eastAsia"/>
          <w:lang w:val="en-US" w:eastAsia="zh-CN"/>
        </w:rPr>
      </w:pPr>
      <w:bookmarkStart w:id="363" w:name="_Toc6982"/>
      <w:bookmarkStart w:id="364" w:name="_Toc5912"/>
      <w:bookmarkStart w:id="365" w:name="_Toc302997926"/>
      <w:bookmarkStart w:id="366" w:name="_Toc439161752"/>
      <w:bookmarkStart w:id="367" w:name="_Toc3690"/>
      <w:bookmarkStart w:id="368" w:name="_Toc10493"/>
      <w:r>
        <w:rPr>
          <w:rFonts w:hint="eastAsia"/>
          <w:lang w:val="en-US" w:eastAsia="zh-CN"/>
        </w:rPr>
        <w:br w:type="page"/>
      </w:r>
    </w:p>
    <w:p w14:paraId="7102DACA">
      <w:pPr>
        <w:pStyle w:val="49"/>
        <w:numPr>
          <w:ilvl w:val="0"/>
          <w:numId w:val="15"/>
        </w:numPr>
        <w:bidi w:val="0"/>
        <w:ind w:left="0" w:leftChars="0" w:firstLine="0" w:firstLineChars="0"/>
        <w:rPr>
          <w:rFonts w:hint="default" w:ascii="宋体" w:hAnsi="宋体" w:eastAsia="宋体"/>
          <w:highlight w:val="none"/>
          <w:lang w:val="en-US" w:eastAsia="zh-CN"/>
        </w:rPr>
      </w:pPr>
      <w:bookmarkStart w:id="369" w:name="_Toc1833"/>
      <w:bookmarkStart w:id="370" w:name="_Toc8435"/>
      <w:bookmarkStart w:id="371" w:name="_Toc7950"/>
      <w:r>
        <w:rPr>
          <w:rFonts w:hint="eastAsia"/>
          <w:highlight w:val="none"/>
          <w:lang w:val="en-US" w:eastAsia="zh-CN"/>
        </w:rPr>
        <w:t>实质性要求承诺</w:t>
      </w:r>
      <w:bookmarkEnd w:id="369"/>
      <w:bookmarkEnd w:id="370"/>
      <w:bookmarkEnd w:id="371"/>
    </w:p>
    <w:p w14:paraId="4F3BE973">
      <w:pPr>
        <w:pStyle w:val="48"/>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u w:val="single"/>
        </w:rPr>
        <w:t xml:space="preserve">                   </w:t>
      </w:r>
      <w:r>
        <w:rPr>
          <w:rFonts w:hint="eastAsia"/>
          <w:lang w:eastAsia="zh-CN"/>
        </w:rPr>
        <w:t>(</w:t>
      </w:r>
      <w:r>
        <w:rPr>
          <w:rFonts w:hint="eastAsia"/>
        </w:rPr>
        <w:t>采购代理机构名称</w:t>
      </w:r>
      <w:r>
        <w:rPr>
          <w:rFonts w:hint="eastAsia"/>
          <w:lang w:eastAsia="zh-CN"/>
        </w:rPr>
        <w:t>)</w:t>
      </w:r>
      <w:r>
        <w:rPr>
          <w:rFonts w:hint="eastAsia"/>
        </w:rPr>
        <w:t>：</w:t>
      </w:r>
    </w:p>
    <w:p w14:paraId="78032B95">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我</w:t>
      </w:r>
      <w:r>
        <w:rPr>
          <w:rFonts w:hint="eastAsia"/>
          <w:lang w:val="en-US" w:eastAsia="zh-CN"/>
        </w:rPr>
        <w:t>方</w:t>
      </w:r>
      <w:r>
        <w:rPr>
          <w:rFonts w:hint="eastAsia"/>
        </w:rPr>
        <w:t>作为本次采购项目的供应商，根据</w:t>
      </w:r>
      <w:r>
        <w:rPr>
          <w:rFonts w:hint="eastAsia"/>
          <w:lang w:val="en-US" w:eastAsia="zh-CN"/>
        </w:rPr>
        <w:t>磋商</w:t>
      </w:r>
      <w:r>
        <w:rPr>
          <w:rFonts w:hint="eastAsia"/>
          <w:lang w:eastAsia="zh-CN"/>
        </w:rPr>
        <w:t>文件</w:t>
      </w:r>
      <w:r>
        <w:rPr>
          <w:rFonts w:hint="eastAsia"/>
        </w:rPr>
        <w:t>要求，现郑重承诺及声明如下：</w:t>
      </w:r>
    </w:p>
    <w:p w14:paraId="4CF587AF">
      <w:pPr>
        <w:pStyle w:val="41"/>
        <w:keepNext w:val="0"/>
        <w:keepLines w:val="0"/>
        <w:pageBreakBefore w:val="0"/>
        <w:widowControl w:val="0"/>
        <w:numPr>
          <w:ilvl w:val="2"/>
          <w:numId w:val="17"/>
        </w:numPr>
        <w:kinsoku/>
        <w:wordWrap w:val="0"/>
        <w:overflowPunct/>
        <w:topLinePunct/>
        <w:autoSpaceDE/>
        <w:autoSpaceDN/>
        <w:bidi w:val="0"/>
        <w:adjustRightInd w:val="0"/>
        <w:snapToGrid w:val="0"/>
        <w:spacing w:line="520" w:lineRule="exact"/>
        <w:textAlignment w:val="auto"/>
        <w:rPr>
          <w:rFonts w:hint="eastAsia"/>
        </w:rPr>
      </w:pPr>
      <w:r>
        <w:rPr>
          <w:rFonts w:hint="eastAsia"/>
        </w:rPr>
        <w:t>我方已认真阅读并接受本项目磋商文件的全部实质性要求</w:t>
      </w:r>
      <w:r>
        <w:rPr>
          <w:rFonts w:hint="eastAsia"/>
          <w:b/>
          <w:bCs/>
          <w:lang w:val="en-US" w:eastAsia="zh-CN"/>
        </w:rPr>
        <w:t>(磋商文件中</w:t>
      </w:r>
      <w:r>
        <w:rPr>
          <w:rFonts w:hint="eastAsia"/>
          <w:b/>
          <w:bCs/>
        </w:rPr>
        <w:t>明确要求</w:t>
      </w:r>
      <w:r>
        <w:rPr>
          <w:rFonts w:hint="eastAsia"/>
          <w:b/>
          <w:bCs/>
          <w:lang w:val="en-US" w:eastAsia="zh-CN"/>
        </w:rPr>
        <w:t>需在响应时</w:t>
      </w:r>
      <w:r>
        <w:rPr>
          <w:rFonts w:hint="eastAsia"/>
          <w:b/>
          <w:bCs/>
        </w:rPr>
        <w:t>提供承诺函</w:t>
      </w:r>
      <w:r>
        <w:rPr>
          <w:rFonts w:hint="eastAsia"/>
          <w:b/>
          <w:bCs/>
          <w:lang w:val="en-US" w:eastAsia="zh-CN"/>
        </w:rPr>
        <w:t>或具体</w:t>
      </w:r>
      <w:r>
        <w:rPr>
          <w:rFonts w:hint="eastAsia"/>
          <w:b/>
          <w:bCs/>
        </w:rPr>
        <w:t>证明材料</w:t>
      </w:r>
      <w:r>
        <w:rPr>
          <w:rFonts w:hint="eastAsia"/>
          <w:b/>
          <w:bCs/>
          <w:lang w:val="en-US" w:eastAsia="zh-CN"/>
        </w:rPr>
        <w:t>进行响应的</w:t>
      </w:r>
      <w:r>
        <w:rPr>
          <w:rFonts w:hint="eastAsia"/>
          <w:b/>
          <w:bCs/>
        </w:rPr>
        <w:t>实质性</w:t>
      </w:r>
      <w:r>
        <w:rPr>
          <w:rFonts w:hint="eastAsia"/>
          <w:b/>
          <w:bCs/>
          <w:lang w:val="en-US" w:eastAsia="zh-CN"/>
        </w:rPr>
        <w:t>要求</w:t>
      </w:r>
      <w:r>
        <w:rPr>
          <w:rFonts w:hint="eastAsia"/>
          <w:b/>
          <w:bCs/>
        </w:rPr>
        <w:t>除外</w:t>
      </w:r>
      <w:r>
        <w:rPr>
          <w:rFonts w:hint="eastAsia"/>
          <w:b/>
          <w:bCs/>
          <w:lang w:val="en-US" w:eastAsia="zh-CN"/>
        </w:rPr>
        <w:t>)</w:t>
      </w:r>
      <w:r>
        <w:rPr>
          <w:rFonts w:hint="eastAsia"/>
          <w:lang w:eastAsia="zh-CN"/>
        </w:rPr>
        <w:t>。</w:t>
      </w:r>
    </w:p>
    <w:p w14:paraId="77FCCCAE">
      <w:pPr>
        <w:pStyle w:val="41"/>
        <w:keepNext w:val="0"/>
        <w:keepLines w:val="0"/>
        <w:pageBreakBefore w:val="0"/>
        <w:widowControl w:val="0"/>
        <w:numPr>
          <w:ilvl w:val="2"/>
          <w:numId w:val="17"/>
        </w:numPr>
        <w:kinsoku/>
        <w:wordWrap w:val="0"/>
        <w:overflowPunct/>
        <w:topLinePunct/>
        <w:autoSpaceDE/>
        <w:autoSpaceDN/>
        <w:bidi w:val="0"/>
        <w:adjustRightInd w:val="0"/>
        <w:snapToGrid w:val="0"/>
        <w:spacing w:line="520" w:lineRule="exact"/>
        <w:textAlignment w:val="auto"/>
        <w:rPr>
          <w:rFonts w:hint="eastAsia"/>
        </w:rPr>
      </w:pPr>
      <w:r>
        <w:rPr>
          <w:rFonts w:hint="eastAsia"/>
        </w:rPr>
        <w:t>我方参加本次采购活动，不存在与单位负责人为同一人或者存在直接控股、管理关系的其他供应商参与同一合同项下的采购活动的行为。</w:t>
      </w:r>
      <w:r>
        <w:rPr>
          <w:rFonts w:hint="eastAsia"/>
          <w:color w:val="auto"/>
          <w:sz w:val="24"/>
          <w:szCs w:val="24"/>
          <w:lang w:val="en-US" w:eastAsia="zh-CN"/>
        </w:rPr>
        <w:t>与我方</w:t>
      </w:r>
      <w:r>
        <w:rPr>
          <w:rFonts w:hint="eastAsia"/>
          <w:color w:val="auto"/>
          <w:sz w:val="24"/>
          <w:szCs w:val="24"/>
        </w:rPr>
        <w:t>存在直接控股关系的</w:t>
      </w:r>
      <w:r>
        <w:rPr>
          <w:rFonts w:hint="eastAsia"/>
          <w:color w:val="auto"/>
          <w:sz w:val="24"/>
          <w:szCs w:val="24"/>
          <w:lang w:val="en-US" w:eastAsia="zh-CN"/>
        </w:rPr>
        <w:t>单位为：</w:t>
      </w:r>
      <w:r>
        <w:rPr>
          <w:rFonts w:hint="eastAsia"/>
          <w:color w:val="auto"/>
          <w:sz w:val="24"/>
          <w:szCs w:val="24"/>
          <w:u w:val="single"/>
          <w:lang w:val="en-US" w:eastAsia="zh-CN"/>
        </w:rPr>
        <w:t xml:space="preserve">                  </w:t>
      </w:r>
      <w:r>
        <w:rPr>
          <w:rFonts w:hint="eastAsia"/>
          <w:color w:val="auto"/>
          <w:sz w:val="24"/>
          <w:szCs w:val="24"/>
          <w:lang w:eastAsia="zh-CN"/>
        </w:rPr>
        <w:t>；</w:t>
      </w:r>
      <w:r>
        <w:rPr>
          <w:rFonts w:hint="eastAsia"/>
          <w:color w:val="auto"/>
          <w:sz w:val="24"/>
          <w:szCs w:val="24"/>
          <w:lang w:val="en-US" w:eastAsia="zh-CN"/>
        </w:rPr>
        <w:t>存在</w:t>
      </w:r>
      <w:r>
        <w:rPr>
          <w:rFonts w:hint="eastAsia"/>
          <w:color w:val="auto"/>
          <w:sz w:val="24"/>
          <w:szCs w:val="24"/>
        </w:rPr>
        <w:t>管理关系的</w:t>
      </w:r>
      <w:r>
        <w:rPr>
          <w:rFonts w:hint="eastAsia"/>
          <w:color w:val="auto"/>
          <w:sz w:val="24"/>
          <w:szCs w:val="24"/>
          <w:lang w:val="en-US" w:eastAsia="zh-CN"/>
        </w:rPr>
        <w:t>单位为：</w:t>
      </w:r>
      <w:r>
        <w:rPr>
          <w:rFonts w:hint="eastAsia"/>
          <w:color w:val="auto"/>
          <w:sz w:val="24"/>
          <w:szCs w:val="24"/>
          <w:u w:val="single"/>
          <w:lang w:val="en-US" w:eastAsia="zh-CN"/>
        </w:rPr>
        <w:t xml:space="preserve">                      </w:t>
      </w:r>
      <w:r>
        <w:rPr>
          <w:rFonts w:hint="eastAsia"/>
          <w:color w:val="auto"/>
          <w:sz w:val="24"/>
          <w:szCs w:val="24"/>
          <w:u w:val="none"/>
          <w:lang w:val="en-US" w:eastAsia="zh-CN"/>
        </w:rPr>
        <w:t>(如不存在</w:t>
      </w:r>
      <w:r>
        <w:rPr>
          <w:rFonts w:hint="eastAsia"/>
          <w:color w:val="auto"/>
          <w:sz w:val="24"/>
          <w:szCs w:val="24"/>
        </w:rPr>
        <w:t>直接控股、管理关系的相关供应商</w:t>
      </w:r>
      <w:r>
        <w:rPr>
          <w:rFonts w:hint="eastAsia"/>
          <w:color w:val="auto"/>
          <w:sz w:val="24"/>
          <w:szCs w:val="24"/>
          <w:lang w:val="en-US" w:eastAsia="zh-CN"/>
        </w:rPr>
        <w:t>填“无”</w:t>
      </w:r>
      <w:r>
        <w:rPr>
          <w:rFonts w:hint="eastAsia"/>
          <w:color w:val="auto"/>
          <w:sz w:val="24"/>
          <w:szCs w:val="24"/>
          <w:u w:val="none"/>
          <w:lang w:val="en-US" w:eastAsia="zh-CN"/>
        </w:rPr>
        <w:t>)。</w:t>
      </w:r>
    </w:p>
    <w:p w14:paraId="45EAEB33">
      <w:pPr>
        <w:pStyle w:val="41"/>
        <w:keepNext w:val="0"/>
        <w:keepLines w:val="0"/>
        <w:pageBreakBefore w:val="0"/>
        <w:widowControl w:val="0"/>
        <w:numPr>
          <w:ilvl w:val="2"/>
          <w:numId w:val="17"/>
        </w:numPr>
        <w:kinsoku/>
        <w:wordWrap w:val="0"/>
        <w:overflowPunct/>
        <w:topLinePunct/>
        <w:autoSpaceDE/>
        <w:autoSpaceDN/>
        <w:bidi w:val="0"/>
        <w:adjustRightInd w:val="0"/>
        <w:snapToGrid w:val="0"/>
        <w:spacing w:line="520" w:lineRule="exact"/>
        <w:textAlignment w:val="auto"/>
        <w:rPr>
          <w:rFonts w:hint="eastAsia"/>
        </w:rPr>
      </w:pPr>
      <w:r>
        <w:rPr>
          <w:rFonts w:hint="eastAsia"/>
        </w:rPr>
        <w:t>我方参加本次采购活动前本单位未对本次采购项目提供过整体设计、规范编制或者项目管理、监理、检测等服务。</w:t>
      </w:r>
    </w:p>
    <w:p w14:paraId="6E898806">
      <w:pPr>
        <w:pStyle w:val="41"/>
        <w:keepNext w:val="0"/>
        <w:keepLines w:val="0"/>
        <w:pageBreakBefore w:val="0"/>
        <w:widowControl w:val="0"/>
        <w:numPr>
          <w:ilvl w:val="2"/>
          <w:numId w:val="17"/>
        </w:numPr>
        <w:kinsoku/>
        <w:wordWrap w:val="0"/>
        <w:overflowPunct/>
        <w:topLinePunct/>
        <w:autoSpaceDE/>
        <w:autoSpaceDN/>
        <w:bidi w:val="0"/>
        <w:adjustRightInd w:val="0"/>
        <w:snapToGrid w:val="0"/>
        <w:spacing w:line="520" w:lineRule="exact"/>
        <w:textAlignment w:val="auto"/>
        <w:rPr>
          <w:rFonts w:hint="eastAsia"/>
          <w:lang w:val="en-US"/>
        </w:rPr>
      </w:pPr>
      <w:r>
        <w:rPr>
          <w:rFonts w:hint="eastAsia"/>
        </w:rPr>
        <w:t>我方参加本次采购活动，</w:t>
      </w:r>
      <w:r>
        <w:rPr>
          <w:rFonts w:hint="eastAsia"/>
          <w:lang w:val="en-US" w:eastAsia="zh-CN"/>
        </w:rPr>
        <w:t>不存在我单位实际控制人或者中高级管理人员是本项目采购代理机构的工作人员的情形。</w:t>
      </w:r>
    </w:p>
    <w:p w14:paraId="27DE97C6">
      <w:pPr>
        <w:pStyle w:val="41"/>
        <w:keepNext w:val="0"/>
        <w:keepLines w:val="0"/>
        <w:pageBreakBefore w:val="0"/>
        <w:widowControl w:val="0"/>
        <w:numPr>
          <w:ilvl w:val="2"/>
          <w:numId w:val="17"/>
        </w:numPr>
        <w:kinsoku/>
        <w:wordWrap w:val="0"/>
        <w:overflowPunct/>
        <w:topLinePunct/>
        <w:autoSpaceDE/>
        <w:autoSpaceDN/>
        <w:bidi w:val="0"/>
        <w:adjustRightInd w:val="0"/>
        <w:snapToGrid w:val="0"/>
        <w:spacing w:line="520" w:lineRule="exact"/>
        <w:textAlignment w:val="auto"/>
        <w:rPr>
          <w:rFonts w:hint="eastAsia"/>
        </w:rPr>
      </w:pPr>
      <w:r>
        <w:rPr>
          <w:rFonts w:hint="eastAsia"/>
        </w:rPr>
        <w:t>我方参加本次采购活动，</w:t>
      </w:r>
      <w:r>
        <w:rPr>
          <w:rFonts w:hint="eastAsia"/>
          <w:lang w:val="en-US"/>
        </w:rPr>
        <w:t>与采购代理机构</w:t>
      </w:r>
      <w:r>
        <w:rPr>
          <w:rFonts w:hint="eastAsia"/>
          <w:lang w:val="en-US" w:eastAsia="zh-CN"/>
        </w:rPr>
        <w:t>不</w:t>
      </w:r>
      <w:r>
        <w:rPr>
          <w:rFonts w:hint="eastAsia"/>
          <w:lang w:val="en-US"/>
        </w:rPr>
        <w:t>存在关联关系，</w:t>
      </w:r>
      <w:r>
        <w:rPr>
          <w:rFonts w:hint="eastAsia"/>
          <w:lang w:val="en-US" w:eastAsia="zh-CN"/>
        </w:rPr>
        <w:t>不为</w:t>
      </w:r>
      <w:r>
        <w:rPr>
          <w:rFonts w:hint="eastAsia"/>
          <w:lang w:val="en-US"/>
        </w:rPr>
        <w:t>采购代理机构的母公司或子公司</w:t>
      </w:r>
      <w:r>
        <w:rPr>
          <w:rFonts w:hint="eastAsia"/>
          <w:lang w:val="en-US" w:eastAsia="zh-CN"/>
        </w:rPr>
        <w:t>。</w:t>
      </w:r>
    </w:p>
    <w:p w14:paraId="7BE1C065">
      <w:pPr>
        <w:pStyle w:val="41"/>
        <w:keepNext w:val="0"/>
        <w:keepLines w:val="0"/>
        <w:pageBreakBefore w:val="0"/>
        <w:widowControl w:val="0"/>
        <w:numPr>
          <w:ilvl w:val="2"/>
          <w:numId w:val="17"/>
        </w:numPr>
        <w:kinsoku/>
        <w:wordWrap w:val="0"/>
        <w:overflowPunct/>
        <w:topLinePunct/>
        <w:autoSpaceDE/>
        <w:autoSpaceDN/>
        <w:bidi w:val="0"/>
        <w:adjustRightInd w:val="0"/>
        <w:snapToGrid w:val="0"/>
        <w:spacing w:line="520" w:lineRule="exact"/>
        <w:textAlignment w:val="auto"/>
        <w:rPr>
          <w:rFonts w:hint="eastAsia"/>
        </w:rPr>
      </w:pPr>
      <w:r>
        <w:rPr>
          <w:rFonts w:hint="eastAsia"/>
        </w:rPr>
        <w:t>我方参加本次采购活动，不存在和其他供应商在同一合同项下的采购项目中，同时委托同一个自然人、同一家庭的人员、同一单位的人员作为代理人的行为。</w:t>
      </w:r>
    </w:p>
    <w:p w14:paraId="73D30168">
      <w:pPr>
        <w:pStyle w:val="41"/>
        <w:keepNext w:val="0"/>
        <w:keepLines w:val="0"/>
        <w:pageBreakBefore w:val="0"/>
        <w:widowControl w:val="0"/>
        <w:numPr>
          <w:ilvl w:val="2"/>
          <w:numId w:val="17"/>
        </w:numPr>
        <w:kinsoku/>
        <w:wordWrap w:val="0"/>
        <w:overflowPunct/>
        <w:topLinePunct/>
        <w:autoSpaceDE/>
        <w:autoSpaceDN/>
        <w:bidi w:val="0"/>
        <w:adjustRightInd w:val="0"/>
        <w:snapToGrid w:val="0"/>
        <w:spacing w:line="520" w:lineRule="exact"/>
        <w:textAlignment w:val="auto"/>
        <w:rPr>
          <w:rFonts w:hint="eastAsia"/>
        </w:rPr>
      </w:pPr>
      <w:r>
        <w:rPr>
          <w:rFonts w:hint="eastAsia"/>
        </w:rPr>
        <w:t>我方响应文件中提供的任何资料和技术、服务、商务等响应承诺情况都是真实的、有效的、合法的。</w:t>
      </w:r>
    </w:p>
    <w:p w14:paraId="008931CD">
      <w:pPr>
        <w:pStyle w:val="41"/>
        <w:keepNext w:val="0"/>
        <w:keepLines w:val="0"/>
        <w:pageBreakBefore w:val="0"/>
        <w:widowControl w:val="0"/>
        <w:numPr>
          <w:ilvl w:val="2"/>
          <w:numId w:val="17"/>
        </w:numPr>
        <w:kinsoku/>
        <w:wordWrap w:val="0"/>
        <w:overflowPunct/>
        <w:topLinePunct/>
        <w:autoSpaceDE/>
        <w:autoSpaceDN/>
        <w:bidi w:val="0"/>
        <w:adjustRightInd w:val="0"/>
        <w:snapToGrid w:val="0"/>
        <w:spacing w:line="520" w:lineRule="exact"/>
        <w:textAlignment w:val="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我方</w:t>
      </w:r>
      <w:r>
        <w:rPr>
          <w:rFonts w:hint="eastAsia"/>
          <w:color w:val="000000" w:themeColor="text1"/>
          <w:highlight w:val="none"/>
          <w14:textFill>
            <w14:solidFill>
              <w14:schemeClr w14:val="tx1"/>
            </w14:solidFill>
          </w14:textFill>
        </w:rPr>
        <w:t>参加本次采购活动，我方完全同意</w:t>
      </w:r>
      <w:r>
        <w:rPr>
          <w:rFonts w:hint="eastAsia"/>
          <w:color w:val="000000" w:themeColor="text1"/>
          <w:highlight w:val="none"/>
          <w:lang w:val="en-US" w:eastAsia="zh-CN"/>
          <w14:textFill>
            <w14:solidFill>
              <w14:schemeClr w14:val="tx1"/>
            </w14:solidFill>
          </w14:textFill>
        </w:rPr>
        <w:t>竞争性磋商文件中</w:t>
      </w:r>
      <w:r>
        <w:rPr>
          <w:rFonts w:hint="eastAsia"/>
          <w:color w:val="000000" w:themeColor="text1"/>
          <w:highlight w:val="none"/>
          <w14:textFill>
            <w14:solidFill>
              <w14:schemeClr w14:val="tx1"/>
            </w14:solidFill>
          </w14:textFill>
        </w:rPr>
        <w:t>关于“</w:t>
      </w:r>
      <w:r>
        <w:rPr>
          <w:rFonts w:hint="eastAsia"/>
          <w:color w:val="000000" w:themeColor="text1"/>
          <w:highlight w:val="none"/>
          <w:lang w:val="en-US" w:eastAsia="zh-CN"/>
          <w14:textFill>
            <w14:solidFill>
              <w14:schemeClr w14:val="tx1"/>
            </w14:solidFill>
          </w14:textFill>
        </w:rPr>
        <w:t>磋商</w:t>
      </w:r>
      <w:r>
        <w:rPr>
          <w:rFonts w:hint="eastAsia"/>
          <w:color w:val="000000" w:themeColor="text1"/>
          <w:highlight w:val="none"/>
          <w14:textFill>
            <w14:solidFill>
              <w14:schemeClr w14:val="tx1"/>
            </w14:solidFill>
          </w14:textFill>
        </w:rPr>
        <w:t>费用”、“合同分包”、“合同转包”、</w:t>
      </w:r>
      <w:r>
        <w:rPr>
          <w:rFonts w:hint="eastAsia"/>
          <w:highlight w:val="none"/>
          <w:lang w:eastAsia="zh-CN"/>
        </w:rPr>
        <w:t>“</w:t>
      </w:r>
      <w:r>
        <w:rPr>
          <w:rFonts w:hint="eastAsia"/>
          <w:highlight w:val="none"/>
          <w:lang w:val="en-US" w:eastAsia="zh-CN"/>
        </w:rPr>
        <w:t>合同定价方式</w:t>
      </w:r>
      <w:r>
        <w:rPr>
          <w:rFonts w:hint="eastAsia"/>
          <w:highlight w:val="none"/>
          <w:lang w:eastAsia="zh-CN"/>
        </w:rPr>
        <w:t>”、“</w:t>
      </w:r>
      <w:r>
        <w:rPr>
          <w:rFonts w:hint="eastAsia"/>
        </w:rPr>
        <w:t>履约保证金</w:t>
      </w:r>
      <w:r>
        <w:rPr>
          <w:rFonts w:hint="eastAsia"/>
          <w:highlight w:val="none"/>
          <w:lang w:eastAsia="zh-CN"/>
        </w:rPr>
        <w:t>”</w:t>
      </w:r>
      <w:r>
        <w:rPr>
          <w:rFonts w:hint="eastAsia"/>
          <w:color w:val="000000" w:themeColor="text1"/>
          <w:highlight w:val="none"/>
          <w:lang w:val="en-US" w:eastAsia="zh-CN"/>
          <w14:textFill>
            <w14:solidFill>
              <w14:schemeClr w14:val="tx1"/>
            </w14:solidFill>
          </w14:textFill>
        </w:rPr>
        <w:t>等</w:t>
      </w:r>
      <w:r>
        <w:rPr>
          <w:rFonts w:hint="eastAsia"/>
          <w:color w:val="000000" w:themeColor="text1"/>
          <w:highlight w:val="none"/>
          <w14:textFill>
            <w14:solidFill>
              <w14:schemeClr w14:val="tx1"/>
            </w14:solidFill>
          </w14:textFill>
        </w:rPr>
        <w:t>实质性要求，并承诺严格按照</w:t>
      </w:r>
      <w:r>
        <w:rPr>
          <w:rFonts w:hint="eastAsia"/>
          <w:color w:val="000000" w:themeColor="text1"/>
          <w:highlight w:val="none"/>
          <w:lang w:val="en-US" w:eastAsia="zh-CN"/>
          <w14:textFill>
            <w14:solidFill>
              <w14:schemeClr w14:val="tx1"/>
            </w14:solidFill>
          </w14:textFill>
        </w:rPr>
        <w:t>竞争性磋商文件采购合同</w:t>
      </w:r>
      <w:r>
        <w:rPr>
          <w:rFonts w:hint="eastAsia"/>
          <w:color w:val="000000" w:themeColor="text1"/>
          <w:highlight w:val="none"/>
          <w14:textFill>
            <w14:solidFill>
              <w14:schemeClr w14:val="tx1"/>
            </w14:solidFill>
          </w14:textFill>
        </w:rPr>
        <w:t>要求履行。</w:t>
      </w:r>
    </w:p>
    <w:p w14:paraId="6FD98118">
      <w:pPr>
        <w:pStyle w:val="41"/>
        <w:keepNext w:val="0"/>
        <w:keepLines w:val="0"/>
        <w:pageBreakBefore w:val="0"/>
        <w:widowControl w:val="0"/>
        <w:numPr>
          <w:ilvl w:val="2"/>
          <w:numId w:val="17"/>
        </w:numPr>
        <w:kinsoku/>
        <w:wordWrap w:val="0"/>
        <w:overflowPunct/>
        <w:topLinePunct/>
        <w:autoSpaceDE/>
        <w:autoSpaceDN/>
        <w:bidi w:val="0"/>
        <w:adjustRightInd w:val="0"/>
        <w:snapToGrid w:val="0"/>
        <w:spacing w:line="520" w:lineRule="exact"/>
        <w:textAlignment w:val="auto"/>
        <w:rPr>
          <w:rFonts w:hint="eastAsia"/>
        </w:rPr>
      </w:pPr>
      <w:r>
        <w:rPr>
          <w:rFonts w:hint="eastAsia"/>
        </w:rPr>
        <w:t>我方保证在本项目使用的任何产品和服务</w:t>
      </w:r>
      <w:r>
        <w:rPr>
          <w:rFonts w:hint="eastAsia"/>
          <w:lang w:eastAsia="zh-CN"/>
        </w:rPr>
        <w:t>(</w:t>
      </w:r>
      <w:r>
        <w:rPr>
          <w:rFonts w:hint="eastAsia"/>
        </w:rPr>
        <w:t>包括部分使用</w:t>
      </w:r>
      <w:r>
        <w:rPr>
          <w:rFonts w:hint="eastAsia"/>
          <w:lang w:eastAsia="zh-CN"/>
        </w:rPr>
        <w:t>)</w:t>
      </w:r>
      <w:r>
        <w:rPr>
          <w:rFonts w:hint="eastAsia"/>
        </w:rPr>
        <w:t>时，不会产生因第三方提出侵犯其专利权、商标权或其它知识产权而引起的法律和经济纠纷，如因专利权、商标权或其它知识产权而引起法律和经济纠纷，由我方承担所有相关责任。采购人享有本项目实施过程中产生的知识成果及知识产权。如我方在项目实施过程中采用自有知识成果，我方</w:t>
      </w:r>
      <w:r>
        <w:t>承诺</w:t>
      </w:r>
      <w:r>
        <w:rPr>
          <w:rFonts w:hint="eastAsia"/>
        </w:rPr>
        <w:t>提供</w:t>
      </w:r>
      <w:r>
        <w:rPr>
          <w:rFonts w:hint="eastAsia"/>
          <w:lang w:val="en-US" w:eastAsia="zh-CN"/>
        </w:rPr>
        <w:t>相关</w:t>
      </w:r>
      <w:r>
        <w:rPr>
          <w:rFonts w:hint="eastAsia"/>
        </w:rPr>
        <w:t>技术文档，并提供无限期技术支持，采购人享有永久使用权</w:t>
      </w:r>
      <w:r>
        <w:rPr>
          <w:rFonts w:hint="eastAsia"/>
          <w:lang w:eastAsia="zh-CN"/>
        </w:rPr>
        <w:t>(</w:t>
      </w:r>
      <w:r>
        <w:rPr>
          <w:rFonts w:hint="eastAsia"/>
        </w:rPr>
        <w:t>含采购人委托第三方在该项目后续开发的使用权</w:t>
      </w:r>
      <w:r>
        <w:rPr>
          <w:rFonts w:hint="eastAsia"/>
          <w:lang w:eastAsia="zh-CN"/>
        </w:rPr>
        <w:t>)</w:t>
      </w:r>
      <w:r>
        <w:rPr>
          <w:rFonts w:hint="eastAsia"/>
        </w:rPr>
        <w:t>。如我方在项目实施过程中采用非自有的知识产权，我方承诺提供相关技术文档，并提供无限期技术支持，采购人享有永久合法使用的使用权，且不承担该知识产权的相关费用，且在</w:t>
      </w:r>
      <w:r>
        <w:rPr>
          <w:rFonts w:hint="eastAsia"/>
          <w:lang w:val="en-US" w:eastAsia="zh-CN"/>
        </w:rPr>
        <w:t>磋商</w:t>
      </w:r>
      <w:r>
        <w:rPr>
          <w:rFonts w:hint="eastAsia"/>
        </w:rPr>
        <w:t>报价中已包括合法获取该知识产权的相关费用。若项目实施过程形成了新的技术成果或知识产权</w:t>
      </w:r>
      <w:r>
        <w:rPr>
          <w:rFonts w:hint="eastAsia"/>
          <w:lang w:eastAsia="zh-CN"/>
        </w:rPr>
        <w:t>(</w:t>
      </w:r>
      <w:r>
        <w:rPr>
          <w:rFonts w:hint="eastAsia"/>
        </w:rPr>
        <w:t>包括但不限于新开发的计算机软件、在原有软件基础上修改软件架构或增加新功能等技术改进、新功能开发过程中形成的技术文件等</w:t>
      </w:r>
      <w:r>
        <w:rPr>
          <w:rFonts w:hint="eastAsia"/>
          <w:lang w:eastAsia="zh-CN"/>
        </w:rPr>
        <w:t>)</w:t>
      </w:r>
      <w:r>
        <w:rPr>
          <w:rFonts w:hint="eastAsia"/>
        </w:rPr>
        <w:t>，应由采购人和</w:t>
      </w:r>
      <w:r>
        <w:rPr>
          <w:rFonts w:hint="eastAsia"/>
          <w:lang w:val="en-US" w:eastAsia="zh-CN"/>
        </w:rPr>
        <w:t>供应商</w:t>
      </w:r>
      <w:r>
        <w:rPr>
          <w:rFonts w:hint="eastAsia"/>
        </w:rPr>
        <w:t>共同所有前述科技成果权利或知识产权，</w:t>
      </w:r>
      <w:r>
        <w:rPr>
          <w:rFonts w:hint="eastAsia"/>
          <w:lang w:val="en-US" w:eastAsia="zh-CN"/>
        </w:rPr>
        <w:t>供应商</w:t>
      </w:r>
      <w:r>
        <w:rPr>
          <w:rFonts w:hint="eastAsia"/>
        </w:rPr>
        <w:t>承诺采购人享有前述成果权利或知识产权永久合法使用的使用权，且</w:t>
      </w:r>
      <w:r>
        <w:rPr>
          <w:rFonts w:hint="eastAsia"/>
          <w:lang w:val="en-US" w:eastAsia="zh-CN"/>
        </w:rPr>
        <w:t>供应商</w:t>
      </w:r>
      <w:r>
        <w:rPr>
          <w:rFonts w:hint="eastAsia"/>
        </w:rPr>
        <w:t>承诺额外承担任何与之有关的费用。</w:t>
      </w:r>
    </w:p>
    <w:p w14:paraId="0ABAC0CC">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我方</w:t>
      </w:r>
      <w:r>
        <w:rPr>
          <w:rFonts w:hint="eastAsia"/>
        </w:rPr>
        <w:t>对上述承诺的内容事项真实性</w:t>
      </w:r>
      <w:r>
        <w:rPr>
          <w:rFonts w:hint="eastAsia"/>
          <w:lang w:eastAsia="zh-CN"/>
        </w:rPr>
        <w:t>、</w:t>
      </w:r>
      <w:r>
        <w:rPr>
          <w:rFonts w:hint="eastAsia"/>
        </w:rPr>
        <w:t>合法</w:t>
      </w:r>
      <w:r>
        <w:rPr>
          <w:rFonts w:hint="eastAsia"/>
          <w:lang w:val="en-US" w:eastAsia="zh-CN"/>
        </w:rPr>
        <w:t>性</w:t>
      </w:r>
      <w:r>
        <w:rPr>
          <w:rFonts w:hint="eastAsia"/>
        </w:rPr>
        <w:t>负责。如经查实上述承诺的内容事项存在虚假，我</w:t>
      </w:r>
      <w:r>
        <w:rPr>
          <w:rFonts w:hint="eastAsia"/>
          <w:lang w:val="en-US" w:eastAsia="zh-CN"/>
        </w:rPr>
        <w:t>单位自愿</w:t>
      </w:r>
      <w:r>
        <w:rPr>
          <w:rFonts w:hint="eastAsia"/>
        </w:rPr>
        <w:t>接受以提供虚假材料谋取</w:t>
      </w:r>
      <w:r>
        <w:rPr>
          <w:rFonts w:hint="eastAsia"/>
          <w:lang w:val="en-US" w:eastAsia="zh-CN"/>
        </w:rPr>
        <w:t>成交所带来的所有</w:t>
      </w:r>
      <w:r>
        <w:rPr>
          <w:rFonts w:hint="eastAsia"/>
        </w:rPr>
        <w:t>法律责任。</w:t>
      </w:r>
    </w:p>
    <w:p w14:paraId="1C6CF60A">
      <w:pPr>
        <w:pStyle w:val="48"/>
        <w:bidi w:val="0"/>
        <w:rPr>
          <w:rFonts w:hint="eastAsia"/>
          <w:lang w:val="en-US" w:eastAsia="zh-CN"/>
        </w:rPr>
      </w:pPr>
    </w:p>
    <w:p w14:paraId="670492AE">
      <w:pPr>
        <w:pStyle w:val="51"/>
        <w:bidi w:val="0"/>
        <w:rPr>
          <w:rFonts w:hint="eastAsia"/>
        </w:rPr>
      </w:pPr>
      <w:r>
        <w:rPr>
          <w:rFonts w:hint="eastAsia"/>
          <w:lang w:val="en-US" w:eastAsia="zh-CN"/>
        </w:rPr>
        <w:t>供应商</w:t>
      </w:r>
      <w:r>
        <w:rPr>
          <w:rFonts w:hint="eastAsia"/>
        </w:rPr>
        <w:t>名称：</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(盖章)</w:t>
      </w:r>
    </w:p>
    <w:p w14:paraId="75963591">
      <w:pPr>
        <w:pStyle w:val="51"/>
        <w:bidi w:val="0"/>
        <w:rPr>
          <w:rFonts w:hint="eastAsia"/>
        </w:rPr>
      </w:pPr>
      <w:r>
        <w:rPr>
          <w:rFonts w:hint="eastAsia"/>
          <w:lang w:eastAsia="zh-CN"/>
        </w:rPr>
        <w:t>法定代表人/单位负责人或授权代表</w:t>
      </w:r>
      <w:r>
        <w:rPr>
          <w:rFonts w:hint="eastAsia"/>
        </w:rPr>
        <w:t>：</w:t>
      </w:r>
      <w:r>
        <w:rPr>
          <w:rFonts w:hint="eastAsia"/>
          <w:u w:val="single"/>
          <w:lang w:val="en-US" w:eastAsia="zh-CN"/>
        </w:rPr>
        <w:t xml:space="preserve">            </w:t>
      </w:r>
      <w:r>
        <w:rPr>
          <w:rFonts w:hint="eastAsia"/>
        </w:rPr>
        <w:t>(签字</w:t>
      </w:r>
      <w:r>
        <w:rPr>
          <w:rFonts w:hint="eastAsia"/>
          <w:lang w:eastAsia="zh-CN"/>
        </w:rPr>
        <w:t>或盖章</w:t>
      </w:r>
      <w:r>
        <w:rPr>
          <w:rFonts w:hint="eastAsia"/>
        </w:rPr>
        <w:t>)</w:t>
      </w:r>
    </w:p>
    <w:p w14:paraId="1553956C">
      <w:pPr>
        <w:pStyle w:val="51"/>
        <w:bidi w:val="0"/>
        <w:rPr>
          <w:rFonts w:hint="eastAsia"/>
          <w:lang w:val="en-US" w:eastAsia="zh-CN"/>
        </w:rPr>
      </w:pPr>
      <w:r>
        <w:rPr>
          <w:rFonts w:hint="eastAsia"/>
          <w:lang w:val="en-US" w:eastAsia="zh-CN"/>
        </w:rPr>
        <w:t>磋商</w:t>
      </w:r>
      <w:r>
        <w:rPr>
          <w:rFonts w:hint="eastAsia"/>
        </w:rPr>
        <w:t>日期：</w:t>
      </w:r>
      <w:r>
        <w:rPr>
          <w:rFonts w:hint="eastAsia"/>
          <w:u w:val="single"/>
          <w:lang w:val="en-US" w:eastAsia="zh-CN"/>
        </w:rPr>
        <w:t xml:space="preserve">                  </w:t>
      </w:r>
    </w:p>
    <w:p w14:paraId="05B64CE6">
      <w:pPr>
        <w:rPr>
          <w:rFonts w:hint="eastAsia"/>
          <w:lang w:val="en-US" w:eastAsia="zh-CN"/>
        </w:rPr>
      </w:pPr>
      <w:r>
        <w:rPr>
          <w:rFonts w:hint="eastAsia"/>
          <w:lang w:val="en-US" w:eastAsia="zh-CN"/>
        </w:rPr>
        <w:br w:type="page"/>
      </w:r>
    </w:p>
    <w:p w14:paraId="33CFC317">
      <w:pPr>
        <w:pStyle w:val="49"/>
        <w:numPr>
          <w:ilvl w:val="0"/>
          <w:numId w:val="15"/>
        </w:numPr>
        <w:bidi w:val="0"/>
        <w:ind w:left="0" w:leftChars="0" w:firstLine="0" w:firstLineChars="0"/>
        <w:rPr>
          <w:rFonts w:hint="eastAsia"/>
          <w:lang w:val="en-US" w:eastAsia="zh-CN"/>
        </w:rPr>
      </w:pPr>
      <w:bookmarkStart w:id="372" w:name="_Toc5839"/>
      <w:bookmarkStart w:id="373" w:name="_Toc20165"/>
      <w:bookmarkStart w:id="374" w:name="_Toc21871"/>
      <w:r>
        <w:rPr>
          <w:rFonts w:hint="eastAsia"/>
          <w:lang w:val="en-US" w:eastAsia="zh-CN"/>
        </w:rPr>
        <w:t>供应商基本情况表</w:t>
      </w:r>
      <w:bookmarkEnd w:id="363"/>
      <w:bookmarkEnd w:id="364"/>
      <w:bookmarkEnd w:id="365"/>
      <w:bookmarkEnd w:id="366"/>
      <w:bookmarkEnd w:id="367"/>
      <w:bookmarkEnd w:id="368"/>
      <w:bookmarkEnd w:id="372"/>
      <w:bookmarkEnd w:id="373"/>
      <w:bookmarkEnd w:id="374"/>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14"/>
        <w:gridCol w:w="961"/>
        <w:gridCol w:w="1225"/>
        <w:gridCol w:w="1248"/>
        <w:gridCol w:w="1324"/>
        <w:gridCol w:w="159"/>
        <w:gridCol w:w="1007"/>
        <w:gridCol w:w="1082"/>
      </w:tblGrid>
      <w:tr w14:paraId="6CBD1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888" w:type="pct"/>
            <w:vAlign w:val="center"/>
          </w:tcPr>
          <w:p w14:paraId="67FE497A">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lang w:val="en-US" w:eastAsia="zh-CN"/>
              </w:rPr>
              <w:t>供应商</w:t>
            </w:r>
            <w:r>
              <w:rPr>
                <w:rFonts w:hint="eastAsia"/>
              </w:rPr>
              <w:t>名称</w:t>
            </w:r>
          </w:p>
        </w:tc>
        <w:tc>
          <w:tcPr>
            <w:tcW w:w="4111" w:type="pct"/>
            <w:gridSpan w:val="7"/>
            <w:vAlign w:val="center"/>
          </w:tcPr>
          <w:p w14:paraId="05951EDB">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2A8D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888" w:type="pct"/>
            <w:vAlign w:val="center"/>
          </w:tcPr>
          <w:p w14:paraId="61E2D975">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注册地址</w:t>
            </w:r>
          </w:p>
        </w:tc>
        <w:tc>
          <w:tcPr>
            <w:tcW w:w="2015" w:type="pct"/>
            <w:gridSpan w:val="3"/>
            <w:vAlign w:val="center"/>
          </w:tcPr>
          <w:p w14:paraId="7968CB16">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777" w:type="pct"/>
            <w:vAlign w:val="center"/>
          </w:tcPr>
          <w:p w14:paraId="04A45800">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邮政编码</w:t>
            </w:r>
          </w:p>
        </w:tc>
        <w:tc>
          <w:tcPr>
            <w:tcW w:w="1318" w:type="pct"/>
            <w:gridSpan w:val="3"/>
            <w:vAlign w:val="center"/>
          </w:tcPr>
          <w:p w14:paraId="256B3463">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5A438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888" w:type="pct"/>
            <w:vMerge w:val="restart"/>
            <w:vAlign w:val="center"/>
          </w:tcPr>
          <w:p w14:paraId="7A27D2A5">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联系方式</w:t>
            </w:r>
          </w:p>
        </w:tc>
        <w:tc>
          <w:tcPr>
            <w:tcW w:w="564" w:type="pct"/>
            <w:vAlign w:val="center"/>
          </w:tcPr>
          <w:p w14:paraId="2CDC2CA1">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联系人</w:t>
            </w:r>
          </w:p>
        </w:tc>
        <w:tc>
          <w:tcPr>
            <w:tcW w:w="1450" w:type="pct"/>
            <w:gridSpan w:val="2"/>
            <w:vAlign w:val="center"/>
          </w:tcPr>
          <w:p w14:paraId="08A1280F">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777" w:type="pct"/>
            <w:vAlign w:val="center"/>
          </w:tcPr>
          <w:p w14:paraId="4A0DE872">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电话</w:t>
            </w:r>
          </w:p>
        </w:tc>
        <w:tc>
          <w:tcPr>
            <w:tcW w:w="1318" w:type="pct"/>
            <w:gridSpan w:val="3"/>
            <w:vAlign w:val="center"/>
          </w:tcPr>
          <w:p w14:paraId="78AAE02B">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1E74A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 w:hRule="atLeast"/>
        </w:trPr>
        <w:tc>
          <w:tcPr>
            <w:tcW w:w="888" w:type="pct"/>
            <w:vMerge w:val="continue"/>
            <w:vAlign w:val="center"/>
          </w:tcPr>
          <w:p w14:paraId="6FB9922C">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564" w:type="pct"/>
            <w:vAlign w:val="center"/>
          </w:tcPr>
          <w:p w14:paraId="0CCC3E8D">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传真</w:t>
            </w:r>
          </w:p>
        </w:tc>
        <w:tc>
          <w:tcPr>
            <w:tcW w:w="1450" w:type="pct"/>
            <w:gridSpan w:val="2"/>
            <w:vAlign w:val="center"/>
          </w:tcPr>
          <w:p w14:paraId="6C7DC432">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777" w:type="pct"/>
            <w:vAlign w:val="center"/>
          </w:tcPr>
          <w:p w14:paraId="486A0A85">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网址</w:t>
            </w:r>
          </w:p>
        </w:tc>
        <w:tc>
          <w:tcPr>
            <w:tcW w:w="1318" w:type="pct"/>
            <w:gridSpan w:val="3"/>
            <w:vAlign w:val="center"/>
          </w:tcPr>
          <w:p w14:paraId="0856BB75">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3CEF7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trPr>
        <w:tc>
          <w:tcPr>
            <w:tcW w:w="888" w:type="pct"/>
            <w:vAlign w:val="center"/>
          </w:tcPr>
          <w:p w14:paraId="2D43EE83">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法定代表人</w:t>
            </w:r>
          </w:p>
        </w:tc>
        <w:tc>
          <w:tcPr>
            <w:tcW w:w="564" w:type="pct"/>
            <w:vAlign w:val="center"/>
          </w:tcPr>
          <w:p w14:paraId="0BD726A5">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姓名</w:t>
            </w:r>
          </w:p>
        </w:tc>
        <w:tc>
          <w:tcPr>
            <w:tcW w:w="718" w:type="pct"/>
            <w:vAlign w:val="center"/>
          </w:tcPr>
          <w:p w14:paraId="048EA804">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731" w:type="pct"/>
            <w:vAlign w:val="center"/>
          </w:tcPr>
          <w:p w14:paraId="15BE8FD4">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技术职称</w:t>
            </w:r>
          </w:p>
        </w:tc>
        <w:tc>
          <w:tcPr>
            <w:tcW w:w="777" w:type="pct"/>
            <w:vAlign w:val="center"/>
          </w:tcPr>
          <w:p w14:paraId="3184FD10">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684" w:type="pct"/>
            <w:gridSpan w:val="2"/>
            <w:vAlign w:val="center"/>
          </w:tcPr>
          <w:p w14:paraId="43274F75">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电话</w:t>
            </w:r>
          </w:p>
        </w:tc>
        <w:tc>
          <w:tcPr>
            <w:tcW w:w="633" w:type="pct"/>
            <w:vAlign w:val="center"/>
          </w:tcPr>
          <w:p w14:paraId="00FEE48F">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21517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888" w:type="pct"/>
            <w:vAlign w:val="center"/>
          </w:tcPr>
          <w:p w14:paraId="48C539BE">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技术负责人</w:t>
            </w:r>
          </w:p>
        </w:tc>
        <w:tc>
          <w:tcPr>
            <w:tcW w:w="564" w:type="pct"/>
            <w:vAlign w:val="center"/>
          </w:tcPr>
          <w:p w14:paraId="38DB0870">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姓名</w:t>
            </w:r>
          </w:p>
        </w:tc>
        <w:tc>
          <w:tcPr>
            <w:tcW w:w="718" w:type="pct"/>
            <w:vAlign w:val="center"/>
          </w:tcPr>
          <w:p w14:paraId="632BCE95">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731" w:type="pct"/>
            <w:vAlign w:val="center"/>
          </w:tcPr>
          <w:p w14:paraId="1FBA817A">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技术职称</w:t>
            </w:r>
          </w:p>
        </w:tc>
        <w:tc>
          <w:tcPr>
            <w:tcW w:w="777" w:type="pct"/>
            <w:vAlign w:val="center"/>
          </w:tcPr>
          <w:p w14:paraId="5EF454B5">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684" w:type="pct"/>
            <w:gridSpan w:val="2"/>
            <w:vAlign w:val="center"/>
          </w:tcPr>
          <w:p w14:paraId="41526BB2">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电话</w:t>
            </w:r>
          </w:p>
        </w:tc>
        <w:tc>
          <w:tcPr>
            <w:tcW w:w="633" w:type="pct"/>
            <w:vAlign w:val="center"/>
          </w:tcPr>
          <w:p w14:paraId="2ECAF44A">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18EC7A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888" w:type="pct"/>
            <w:vAlign w:val="center"/>
          </w:tcPr>
          <w:p w14:paraId="46F81CBB">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成立时间</w:t>
            </w:r>
          </w:p>
        </w:tc>
        <w:tc>
          <w:tcPr>
            <w:tcW w:w="1283" w:type="pct"/>
            <w:gridSpan w:val="2"/>
            <w:vAlign w:val="center"/>
          </w:tcPr>
          <w:p w14:paraId="42882C26">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2827" w:type="pct"/>
            <w:gridSpan w:val="5"/>
            <w:vAlign w:val="center"/>
          </w:tcPr>
          <w:p w14:paraId="2A198F78">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员工总人数：</w:t>
            </w:r>
          </w:p>
        </w:tc>
      </w:tr>
      <w:tr w14:paraId="26A64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888" w:type="pct"/>
            <w:vAlign w:val="center"/>
          </w:tcPr>
          <w:p w14:paraId="7EBAD0AC">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企业资质等级</w:t>
            </w:r>
          </w:p>
        </w:tc>
        <w:tc>
          <w:tcPr>
            <w:tcW w:w="1283" w:type="pct"/>
            <w:gridSpan w:val="2"/>
            <w:vAlign w:val="center"/>
          </w:tcPr>
          <w:p w14:paraId="16B351BA">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731" w:type="pct"/>
            <w:vMerge w:val="restart"/>
            <w:vAlign w:val="center"/>
          </w:tcPr>
          <w:p w14:paraId="2994BCD2">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其中</w:t>
            </w:r>
          </w:p>
        </w:tc>
        <w:tc>
          <w:tcPr>
            <w:tcW w:w="870" w:type="pct"/>
            <w:gridSpan w:val="2"/>
            <w:vAlign w:val="center"/>
          </w:tcPr>
          <w:p w14:paraId="789E1AC5">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项目经理</w:t>
            </w:r>
          </w:p>
        </w:tc>
        <w:tc>
          <w:tcPr>
            <w:tcW w:w="1225" w:type="pct"/>
            <w:gridSpan w:val="2"/>
            <w:vAlign w:val="center"/>
          </w:tcPr>
          <w:p w14:paraId="56AA9A32">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6EEEF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888" w:type="pct"/>
            <w:vAlign w:val="center"/>
          </w:tcPr>
          <w:p w14:paraId="286C71ED">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营业执照号/统一社会信用代码</w:t>
            </w:r>
          </w:p>
        </w:tc>
        <w:tc>
          <w:tcPr>
            <w:tcW w:w="1283" w:type="pct"/>
            <w:gridSpan w:val="2"/>
            <w:vAlign w:val="center"/>
          </w:tcPr>
          <w:p w14:paraId="09283B0C">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731" w:type="pct"/>
            <w:vMerge w:val="continue"/>
            <w:vAlign w:val="center"/>
          </w:tcPr>
          <w:p w14:paraId="6A509FA9">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870" w:type="pct"/>
            <w:gridSpan w:val="2"/>
            <w:vAlign w:val="center"/>
          </w:tcPr>
          <w:p w14:paraId="21025279">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高级职称人员</w:t>
            </w:r>
          </w:p>
        </w:tc>
        <w:tc>
          <w:tcPr>
            <w:tcW w:w="1225" w:type="pct"/>
            <w:gridSpan w:val="2"/>
            <w:vAlign w:val="center"/>
          </w:tcPr>
          <w:p w14:paraId="0150701A">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75D5C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888" w:type="pct"/>
            <w:vAlign w:val="center"/>
          </w:tcPr>
          <w:p w14:paraId="62DF9F6F">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注册资金</w:t>
            </w:r>
          </w:p>
        </w:tc>
        <w:tc>
          <w:tcPr>
            <w:tcW w:w="1283" w:type="pct"/>
            <w:gridSpan w:val="2"/>
            <w:vAlign w:val="center"/>
          </w:tcPr>
          <w:p w14:paraId="422BF5BB">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731" w:type="pct"/>
            <w:vMerge w:val="continue"/>
            <w:vAlign w:val="center"/>
          </w:tcPr>
          <w:p w14:paraId="5D60562D">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870" w:type="pct"/>
            <w:gridSpan w:val="2"/>
            <w:vAlign w:val="center"/>
          </w:tcPr>
          <w:p w14:paraId="4B5AC0E0">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中级职称人员</w:t>
            </w:r>
          </w:p>
        </w:tc>
        <w:tc>
          <w:tcPr>
            <w:tcW w:w="1225" w:type="pct"/>
            <w:gridSpan w:val="2"/>
            <w:vAlign w:val="center"/>
          </w:tcPr>
          <w:p w14:paraId="31EB3B8D">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4BD95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2" w:hRule="atLeast"/>
        </w:trPr>
        <w:tc>
          <w:tcPr>
            <w:tcW w:w="888" w:type="pct"/>
            <w:vAlign w:val="center"/>
          </w:tcPr>
          <w:p w14:paraId="4BB3E199">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开户银行</w:t>
            </w:r>
          </w:p>
        </w:tc>
        <w:tc>
          <w:tcPr>
            <w:tcW w:w="1283" w:type="pct"/>
            <w:gridSpan w:val="2"/>
            <w:vAlign w:val="center"/>
          </w:tcPr>
          <w:p w14:paraId="23147A66">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731" w:type="pct"/>
            <w:vMerge w:val="continue"/>
            <w:vAlign w:val="center"/>
          </w:tcPr>
          <w:p w14:paraId="787CC25C">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870" w:type="pct"/>
            <w:gridSpan w:val="2"/>
            <w:vAlign w:val="center"/>
          </w:tcPr>
          <w:p w14:paraId="2598632C">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初级职称人员</w:t>
            </w:r>
          </w:p>
        </w:tc>
        <w:tc>
          <w:tcPr>
            <w:tcW w:w="1225" w:type="pct"/>
            <w:gridSpan w:val="2"/>
            <w:vAlign w:val="center"/>
          </w:tcPr>
          <w:p w14:paraId="0761FE86">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66985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2" w:hRule="atLeast"/>
        </w:trPr>
        <w:tc>
          <w:tcPr>
            <w:tcW w:w="888" w:type="pct"/>
            <w:vAlign w:val="center"/>
          </w:tcPr>
          <w:p w14:paraId="106158FB">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账号</w:t>
            </w:r>
          </w:p>
        </w:tc>
        <w:tc>
          <w:tcPr>
            <w:tcW w:w="1283" w:type="pct"/>
            <w:gridSpan w:val="2"/>
            <w:vAlign w:val="center"/>
          </w:tcPr>
          <w:p w14:paraId="6DE036BB">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731" w:type="pct"/>
            <w:vMerge w:val="continue"/>
            <w:vAlign w:val="center"/>
          </w:tcPr>
          <w:p w14:paraId="25E22F76">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c>
          <w:tcPr>
            <w:tcW w:w="870" w:type="pct"/>
            <w:gridSpan w:val="2"/>
            <w:vAlign w:val="center"/>
          </w:tcPr>
          <w:p w14:paraId="7E6B1514">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技工</w:t>
            </w:r>
          </w:p>
        </w:tc>
        <w:tc>
          <w:tcPr>
            <w:tcW w:w="1225" w:type="pct"/>
            <w:gridSpan w:val="2"/>
            <w:vAlign w:val="center"/>
          </w:tcPr>
          <w:p w14:paraId="7CB6F2A9">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6D305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17" w:hRule="atLeast"/>
        </w:trPr>
        <w:tc>
          <w:tcPr>
            <w:tcW w:w="888" w:type="pct"/>
            <w:vAlign w:val="center"/>
          </w:tcPr>
          <w:p w14:paraId="1F6E20EA">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r>
              <w:rPr>
                <w:rFonts w:hint="eastAsia"/>
              </w:rPr>
              <w:t>经营范围</w:t>
            </w:r>
          </w:p>
        </w:tc>
        <w:tc>
          <w:tcPr>
            <w:tcW w:w="4111" w:type="pct"/>
            <w:gridSpan w:val="7"/>
            <w:vAlign w:val="center"/>
          </w:tcPr>
          <w:p w14:paraId="670F99F1">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r w14:paraId="79F0B9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2" w:hRule="atLeast"/>
        </w:trPr>
        <w:tc>
          <w:tcPr>
            <w:tcW w:w="888" w:type="pct"/>
            <w:vAlign w:val="center"/>
          </w:tcPr>
          <w:p w14:paraId="294C7680">
            <w:pPr>
              <w:pStyle w:val="50"/>
              <w:keepNext w:val="0"/>
              <w:keepLines w:val="0"/>
              <w:pageBreakBefore w:val="0"/>
              <w:widowControl w:val="0"/>
              <w:kinsoku/>
              <w:wordWrap w:val="0"/>
              <w:overflowPunct/>
              <w:topLinePunct/>
              <w:autoSpaceDE/>
              <w:autoSpaceDN/>
              <w:bidi w:val="0"/>
              <w:adjustRightInd w:val="0"/>
              <w:snapToGrid w:val="0"/>
              <w:spacing w:line="480" w:lineRule="exact"/>
              <w:jc w:val="center"/>
              <w:textAlignment w:val="auto"/>
              <w:rPr>
                <w:rFonts w:hint="eastAsia"/>
              </w:rPr>
            </w:pPr>
            <w:r>
              <w:rPr>
                <w:rFonts w:hint="eastAsia"/>
              </w:rPr>
              <w:t>备注</w:t>
            </w:r>
          </w:p>
        </w:tc>
        <w:tc>
          <w:tcPr>
            <w:tcW w:w="4111" w:type="pct"/>
            <w:gridSpan w:val="7"/>
            <w:vAlign w:val="top"/>
          </w:tcPr>
          <w:p w14:paraId="205B428C">
            <w:pPr>
              <w:pStyle w:val="50"/>
              <w:keepNext w:val="0"/>
              <w:keepLines w:val="0"/>
              <w:pageBreakBefore w:val="0"/>
              <w:widowControl w:val="0"/>
              <w:kinsoku/>
              <w:wordWrap w:val="0"/>
              <w:overflowPunct/>
              <w:topLinePunct/>
              <w:autoSpaceDE/>
              <w:autoSpaceDN/>
              <w:bidi w:val="0"/>
              <w:adjustRightInd w:val="0"/>
              <w:snapToGrid w:val="0"/>
              <w:spacing w:line="480" w:lineRule="exact"/>
              <w:textAlignment w:val="auto"/>
              <w:rPr>
                <w:rFonts w:hint="eastAsia"/>
              </w:rPr>
            </w:pPr>
          </w:p>
        </w:tc>
      </w:tr>
    </w:tbl>
    <w:p w14:paraId="519E9E43">
      <w:pPr>
        <w:pStyle w:val="53"/>
        <w:bidi w:val="0"/>
        <w:rPr>
          <w:rFonts w:hint="eastAsia"/>
        </w:rPr>
      </w:pPr>
      <w:r>
        <w:rPr>
          <w:rFonts w:hint="eastAsia"/>
        </w:rPr>
        <w:t>注：</w:t>
      </w:r>
      <w:r>
        <w:rPr>
          <w:rFonts w:hint="eastAsia"/>
          <w:lang w:val="en-US" w:eastAsia="zh-CN"/>
        </w:rPr>
        <w:t>①</w:t>
      </w:r>
      <w:r>
        <w:rPr>
          <w:rFonts w:hint="eastAsia" w:asciiTheme="minorEastAsia" w:hAnsiTheme="minorEastAsia" w:eastAsiaTheme="minorEastAsia" w:cstheme="minorEastAsia"/>
          <w:bCs/>
          <w:color w:val="000000"/>
          <w:sz w:val="24"/>
          <w:szCs w:val="24"/>
        </w:rPr>
        <w:t>事业单位</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lang w:val="en-US" w:eastAsia="zh-CN"/>
        </w:rPr>
        <w:t>其他</w:t>
      </w:r>
      <w:r>
        <w:rPr>
          <w:rFonts w:hint="eastAsia" w:asciiTheme="minorEastAsia" w:hAnsiTheme="minorEastAsia" w:eastAsiaTheme="minorEastAsia" w:cstheme="minorEastAsia"/>
          <w:bCs/>
          <w:color w:val="000000"/>
          <w:sz w:val="24"/>
          <w:szCs w:val="24"/>
        </w:rPr>
        <w:t>组织</w:t>
      </w:r>
      <w:r>
        <w:rPr>
          <w:rFonts w:hint="eastAsia" w:asciiTheme="minorEastAsia" w:hAnsiTheme="minorEastAsia" w:eastAsiaTheme="minorEastAsia" w:cstheme="minorEastAsia"/>
          <w:bCs/>
          <w:color w:val="000000"/>
          <w:sz w:val="24"/>
          <w:szCs w:val="24"/>
          <w:lang w:val="en-US" w:eastAsia="zh-CN"/>
        </w:rPr>
        <w:t>及自然人磋商</w:t>
      </w:r>
      <w:r>
        <w:rPr>
          <w:rFonts w:hint="eastAsia" w:asciiTheme="minorEastAsia" w:hAnsiTheme="minorEastAsia" w:eastAsiaTheme="minorEastAsia" w:cstheme="minorEastAsia"/>
          <w:bCs/>
          <w:color w:val="000000"/>
          <w:sz w:val="24"/>
          <w:szCs w:val="24"/>
        </w:rPr>
        <w:t>根据实际情况据实填写此表，若未填报完善不影响磋商资质及效力</w:t>
      </w:r>
      <w:r>
        <w:rPr>
          <w:rFonts w:hint="eastAsia" w:asciiTheme="minorEastAsia" w:hAnsiTheme="minorEastAsia" w:eastAsiaTheme="minorEastAsia" w:cstheme="minorEastAsia"/>
          <w:bCs/>
          <w:color w:val="000000"/>
          <w:sz w:val="24"/>
          <w:szCs w:val="24"/>
          <w:lang w:eastAsia="zh-CN"/>
        </w:rPr>
        <w:t>；</w:t>
      </w:r>
      <w:r>
        <w:rPr>
          <w:rFonts w:hint="eastAsia" w:asciiTheme="minorEastAsia" w:hAnsiTheme="minorEastAsia" w:eastAsiaTheme="minorEastAsia" w:cstheme="minorEastAsia"/>
          <w:bCs/>
          <w:color w:val="000000"/>
          <w:sz w:val="24"/>
          <w:szCs w:val="24"/>
          <w:lang w:val="en-US" w:eastAsia="zh-CN"/>
        </w:rPr>
        <w:t>②</w:t>
      </w:r>
      <w:r>
        <w:rPr>
          <w:rFonts w:hint="eastAsia" w:asciiTheme="minorEastAsia" w:hAnsiTheme="minorEastAsia" w:eastAsiaTheme="minorEastAsia" w:cstheme="minorEastAsia"/>
          <w:bCs/>
          <w:color w:val="000000"/>
          <w:sz w:val="24"/>
          <w:szCs w:val="24"/>
        </w:rPr>
        <w:t>空白项用“/”填写</w:t>
      </w:r>
      <w:r>
        <w:rPr>
          <w:rFonts w:hint="eastAsia"/>
        </w:rPr>
        <w:t>。</w:t>
      </w:r>
    </w:p>
    <w:p w14:paraId="44AF228E">
      <w:pPr>
        <w:pStyle w:val="48"/>
        <w:bidi w:val="0"/>
        <w:rPr>
          <w:rFonts w:hint="eastAsia"/>
        </w:rPr>
      </w:pPr>
    </w:p>
    <w:p w14:paraId="5ECFE726">
      <w:pPr>
        <w:pStyle w:val="51"/>
        <w:bidi w:val="0"/>
        <w:rPr>
          <w:rFonts w:hint="eastAsia"/>
        </w:rPr>
      </w:pPr>
      <w:r>
        <w:rPr>
          <w:rFonts w:hint="eastAsia"/>
          <w:lang w:val="en-US" w:eastAsia="zh-CN"/>
        </w:rPr>
        <w:t>供应商</w:t>
      </w:r>
      <w:r>
        <w:rPr>
          <w:rFonts w:hint="eastAsia"/>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(盖章)</w:t>
      </w:r>
    </w:p>
    <w:p w14:paraId="50EE606E">
      <w:pPr>
        <w:pStyle w:val="51"/>
        <w:bidi w:val="0"/>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(签字</w:t>
      </w:r>
      <w:r>
        <w:rPr>
          <w:rFonts w:hint="eastAsia"/>
          <w:lang w:eastAsia="zh-CN"/>
        </w:rPr>
        <w:t>或盖章</w:t>
      </w:r>
      <w:r>
        <w:rPr>
          <w:rFonts w:hint="eastAsia"/>
        </w:rPr>
        <w:t>)</w:t>
      </w:r>
    </w:p>
    <w:p w14:paraId="68C08834">
      <w:pPr>
        <w:pStyle w:val="51"/>
        <w:bidi w:val="0"/>
        <w:rPr>
          <w:rFonts w:hint="eastAsia"/>
        </w:rPr>
      </w:pPr>
      <w:r>
        <w:rPr>
          <w:rFonts w:hint="eastAsia"/>
          <w:lang w:val="en-US" w:eastAsia="zh-CN"/>
        </w:rPr>
        <w:t>磋商</w:t>
      </w:r>
      <w:r>
        <w:rPr>
          <w:rFonts w:hint="eastAsia"/>
        </w:rPr>
        <w:t>日期</w:t>
      </w:r>
      <w:r>
        <w:rPr>
          <w:rFonts w:hint="eastAsia"/>
          <w:lang w:eastAsia="zh-CN"/>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lang w:val="en-US" w:eastAsia="zh-CN"/>
        </w:rPr>
        <w:t xml:space="preserve">       </w:t>
      </w:r>
    </w:p>
    <w:p w14:paraId="71D06748">
      <w:pPr>
        <w:pStyle w:val="48"/>
        <w:bidi w:val="0"/>
        <w:rPr>
          <w:rFonts w:hint="eastAsia"/>
        </w:rPr>
      </w:pPr>
    </w:p>
    <w:p w14:paraId="7634B9DD">
      <w:pPr>
        <w:pStyle w:val="48"/>
        <w:bidi w:val="0"/>
        <w:rPr>
          <w:rFonts w:hint="eastAsia"/>
        </w:rPr>
      </w:pPr>
    </w:p>
    <w:p w14:paraId="12DD9717">
      <w:pPr>
        <w:rPr>
          <w:rFonts w:hint="eastAsia"/>
          <w:lang w:val="en-US" w:eastAsia="zh-CN"/>
        </w:rPr>
      </w:pPr>
      <w:bookmarkStart w:id="375" w:name="_Toc21006"/>
      <w:bookmarkStart w:id="376" w:name="_Toc25577"/>
      <w:bookmarkStart w:id="377" w:name="_Toc307501130"/>
      <w:bookmarkStart w:id="378" w:name="_Toc327196310"/>
      <w:bookmarkStart w:id="379" w:name="_Toc7835"/>
      <w:bookmarkStart w:id="380" w:name="_Toc11461"/>
      <w:bookmarkStart w:id="381" w:name="_Toc319440166"/>
      <w:bookmarkStart w:id="382" w:name="_Toc217446087"/>
      <w:bookmarkStart w:id="383" w:name="_Toc307564875"/>
      <w:bookmarkStart w:id="384" w:name="_Toc26124"/>
      <w:bookmarkStart w:id="385" w:name="_Toc327196312"/>
      <w:bookmarkStart w:id="386" w:name="_Toc319440168"/>
      <w:bookmarkStart w:id="387" w:name="_Toc24507"/>
      <w:r>
        <w:rPr>
          <w:rFonts w:hint="eastAsia"/>
          <w:lang w:val="en-US" w:eastAsia="zh-CN"/>
        </w:rPr>
        <w:br w:type="page"/>
      </w:r>
    </w:p>
    <w:p w14:paraId="76291EDB">
      <w:pPr>
        <w:pStyle w:val="49"/>
        <w:numPr>
          <w:ilvl w:val="0"/>
          <w:numId w:val="15"/>
        </w:numPr>
        <w:bidi w:val="0"/>
        <w:ind w:left="0" w:leftChars="0" w:firstLine="0" w:firstLineChars="0"/>
        <w:rPr>
          <w:rFonts w:hint="eastAsia"/>
          <w:lang w:val="en-US" w:eastAsia="zh-CN"/>
        </w:rPr>
      </w:pPr>
      <w:bookmarkStart w:id="388" w:name="_Toc22186"/>
      <w:bookmarkStart w:id="389" w:name="_Toc13563"/>
      <w:bookmarkStart w:id="390" w:name="_Toc22139"/>
      <w:r>
        <w:rPr>
          <w:rFonts w:hint="eastAsia"/>
          <w:lang w:val="en-US" w:eastAsia="zh-CN"/>
        </w:rPr>
        <w:t>商务应答表</w:t>
      </w:r>
      <w:bookmarkEnd w:id="375"/>
      <w:bookmarkEnd w:id="376"/>
      <w:bookmarkEnd w:id="377"/>
      <w:bookmarkEnd w:id="378"/>
      <w:bookmarkEnd w:id="379"/>
      <w:bookmarkEnd w:id="380"/>
      <w:bookmarkEnd w:id="381"/>
      <w:bookmarkEnd w:id="382"/>
      <w:bookmarkEnd w:id="383"/>
      <w:bookmarkEnd w:id="388"/>
      <w:bookmarkEnd w:id="389"/>
      <w:bookmarkEnd w:id="390"/>
    </w:p>
    <w:p w14:paraId="2C955AA8">
      <w:pPr>
        <w:pStyle w:val="48"/>
        <w:bidi w:val="0"/>
        <w:rPr>
          <w:rFonts w:hint="eastAsia"/>
          <w:u w:val="single"/>
        </w:rPr>
      </w:pPr>
      <w:r>
        <w:rPr>
          <w:rFonts w:hint="eastAsia"/>
        </w:rPr>
        <w:t>项目名称：</w:t>
      </w:r>
      <w:r>
        <w:rPr>
          <w:rFonts w:hint="eastAsia"/>
          <w:u w:val="single"/>
        </w:rPr>
        <w:t xml:space="preserve">                             </w:t>
      </w:r>
      <w:r>
        <w:rPr>
          <w:rFonts w:hint="eastAsia"/>
          <w:u w:val="none"/>
        </w:rPr>
        <w:t xml:space="preserve"> </w:t>
      </w:r>
    </w:p>
    <w:p w14:paraId="67F6BE3E">
      <w:pPr>
        <w:pStyle w:val="48"/>
        <w:bidi w:val="0"/>
        <w:rPr>
          <w:rFonts w:hint="eastAsia"/>
          <w:color w:val="FF0000"/>
          <w:highlight w:val="none"/>
        </w:rPr>
      </w:pPr>
      <w:r>
        <w:rPr>
          <w:rFonts w:hint="eastAsia"/>
        </w:rPr>
        <w:t>项目编号：</w:t>
      </w:r>
      <w:r>
        <w:rPr>
          <w:rFonts w:hint="eastAsia"/>
          <w:u w:val="single"/>
        </w:rPr>
        <w:t xml:space="preserve">                             </w:t>
      </w:r>
      <w:r>
        <w:rPr>
          <w:rFonts w:hint="eastAsia"/>
          <w:u w:val="none"/>
          <w:lang w:val="en-US" w:eastAsia="zh-CN"/>
        </w:rPr>
        <w:t xml:space="preserve">                            </w:t>
      </w:r>
      <w:r>
        <w:rPr>
          <w:rFonts w:hint="eastAsia"/>
          <w:color w:val="FF0000"/>
          <w:highlight w:val="none"/>
          <w:u w:val="none"/>
          <w:lang w:val="en-US" w:eastAsia="zh-CN"/>
        </w:rPr>
        <w:t xml:space="preserve"> </w:t>
      </w:r>
      <w:r>
        <w:rPr>
          <w:rFonts w:hint="eastAsia"/>
          <w:color w:val="FF0000"/>
          <w:highlight w:val="none"/>
          <w:lang w:val="en-US" w:eastAsia="zh-CN"/>
        </w:rPr>
        <w:t xml:space="preserve"> </w:t>
      </w: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9"/>
        <w:gridCol w:w="3338"/>
        <w:gridCol w:w="3160"/>
        <w:gridCol w:w="1403"/>
      </w:tblGrid>
      <w:tr w14:paraId="0C949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63" w:type="pct"/>
            <w:vAlign w:val="center"/>
          </w:tcPr>
          <w:p w14:paraId="73235199">
            <w:pPr>
              <w:pStyle w:val="50"/>
              <w:bidi w:val="0"/>
              <w:rPr>
                <w:rFonts w:hint="eastAsia"/>
                <w:b/>
                <w:bCs/>
              </w:rPr>
            </w:pPr>
            <w:r>
              <w:rPr>
                <w:rFonts w:hint="eastAsia"/>
                <w:b/>
                <w:bCs/>
              </w:rPr>
              <w:t>序号</w:t>
            </w:r>
          </w:p>
        </w:tc>
        <w:tc>
          <w:tcPr>
            <w:tcW w:w="1958" w:type="pct"/>
            <w:vAlign w:val="center"/>
          </w:tcPr>
          <w:p w14:paraId="51C2E125">
            <w:pPr>
              <w:ind w:firstLine="86" w:firstLineChars="41"/>
              <w:jc w:val="center"/>
              <w:rPr>
                <w:rFonts w:hint="eastAsia" w:eastAsiaTheme="minorEastAsia"/>
                <w:b/>
                <w:bCs/>
                <w:lang w:eastAsia="zh-CN"/>
              </w:rPr>
            </w:pPr>
            <w:r>
              <w:rPr>
                <w:rFonts w:hint="eastAsia" w:asciiTheme="minorEastAsia" w:hAnsiTheme="minorEastAsia" w:eastAsiaTheme="minorEastAsia" w:cstheme="minorEastAsia"/>
                <w:b/>
                <w:bCs/>
                <w:color w:val="000000"/>
                <w:sz w:val="21"/>
                <w:szCs w:val="21"/>
                <w:lang w:val="en-US" w:eastAsia="zh-CN"/>
              </w:rPr>
              <w:t>竞争性</w:t>
            </w:r>
            <w:r>
              <w:rPr>
                <w:rFonts w:hint="eastAsia" w:asciiTheme="minorEastAsia" w:hAnsiTheme="minorEastAsia" w:eastAsiaTheme="minorEastAsia" w:cstheme="minorEastAsia"/>
                <w:b/>
                <w:bCs/>
                <w:color w:val="000000"/>
                <w:sz w:val="21"/>
                <w:szCs w:val="21"/>
              </w:rPr>
              <w:t>磋商文件</w:t>
            </w:r>
            <w:r>
              <w:rPr>
                <w:rFonts w:hint="eastAsia" w:asciiTheme="minorEastAsia" w:hAnsiTheme="minorEastAsia" w:eastAsiaTheme="minorEastAsia" w:cstheme="minorEastAsia"/>
                <w:b/>
                <w:bCs/>
                <w:color w:val="000000"/>
                <w:sz w:val="21"/>
                <w:szCs w:val="21"/>
                <w:lang w:val="en-US" w:eastAsia="zh-CN"/>
              </w:rPr>
              <w:t>第五章</w:t>
            </w:r>
            <w:r>
              <w:rPr>
                <w:rFonts w:hint="eastAsia" w:asciiTheme="minorEastAsia" w:hAnsiTheme="minorEastAsia" w:eastAsiaTheme="minorEastAsia" w:cstheme="minorEastAsia"/>
                <w:b/>
                <w:bCs/>
                <w:color w:val="000000"/>
                <w:sz w:val="21"/>
                <w:szCs w:val="21"/>
              </w:rPr>
              <w:t>商务</w:t>
            </w:r>
            <w:r>
              <w:rPr>
                <w:rFonts w:hint="eastAsia" w:asciiTheme="minorEastAsia" w:hAnsiTheme="minorEastAsia" w:eastAsiaTheme="minorEastAsia" w:cstheme="minorEastAsia"/>
                <w:b/>
                <w:bCs/>
                <w:color w:val="000000"/>
                <w:sz w:val="21"/>
                <w:szCs w:val="21"/>
                <w:lang w:val="en-US" w:eastAsia="zh-CN"/>
              </w:rPr>
              <w:t>要求</w:t>
            </w:r>
          </w:p>
        </w:tc>
        <w:tc>
          <w:tcPr>
            <w:tcW w:w="1854" w:type="pct"/>
            <w:vAlign w:val="center"/>
          </w:tcPr>
          <w:p w14:paraId="14B9A815">
            <w:pPr>
              <w:ind w:firstLine="0" w:firstLineChars="0"/>
              <w:jc w:val="center"/>
              <w:rPr>
                <w:rFonts w:hint="eastAsia" w:eastAsiaTheme="minorEastAsia"/>
                <w:b/>
                <w:bCs/>
                <w:lang w:val="en-US" w:eastAsia="zh-CN"/>
              </w:rPr>
            </w:pPr>
            <w:r>
              <w:rPr>
                <w:rFonts w:hint="eastAsia" w:asciiTheme="minorEastAsia" w:hAnsiTheme="minorEastAsia" w:eastAsiaTheme="minorEastAsia" w:cstheme="minorEastAsia"/>
                <w:b/>
                <w:bCs/>
                <w:color w:val="000000"/>
                <w:sz w:val="21"/>
                <w:szCs w:val="21"/>
              </w:rPr>
              <w:t>响应文件</w:t>
            </w:r>
            <w:r>
              <w:rPr>
                <w:rFonts w:hint="eastAsia" w:asciiTheme="minorEastAsia" w:hAnsiTheme="minorEastAsia" w:eastAsiaTheme="minorEastAsia" w:cstheme="minorEastAsia"/>
                <w:b/>
                <w:bCs/>
                <w:color w:val="000000"/>
                <w:sz w:val="21"/>
                <w:szCs w:val="21"/>
                <w:lang w:val="en-US" w:eastAsia="zh-CN"/>
              </w:rPr>
              <w:t>响应情况</w:t>
            </w:r>
          </w:p>
        </w:tc>
        <w:tc>
          <w:tcPr>
            <w:tcW w:w="823" w:type="pct"/>
            <w:vAlign w:val="center"/>
          </w:tcPr>
          <w:p w14:paraId="0F7967F6">
            <w:pPr>
              <w:pStyle w:val="50"/>
              <w:bidi w:val="0"/>
              <w:rPr>
                <w:rFonts w:hint="eastAsia" w:eastAsia="宋体"/>
                <w:b/>
                <w:bCs/>
                <w:lang w:eastAsia="zh-CN"/>
              </w:rPr>
            </w:pPr>
            <w:r>
              <w:rPr>
                <w:rFonts w:hint="eastAsia"/>
                <w:b/>
                <w:bCs/>
                <w:lang w:eastAsia="zh-CN"/>
              </w:rPr>
              <w:t>偏离情况</w:t>
            </w:r>
          </w:p>
        </w:tc>
      </w:tr>
      <w:tr w14:paraId="08029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63" w:type="pct"/>
            <w:vAlign w:val="top"/>
          </w:tcPr>
          <w:p w14:paraId="6AB802F4">
            <w:pPr>
              <w:pStyle w:val="50"/>
              <w:bidi w:val="0"/>
              <w:rPr>
                <w:rFonts w:hint="eastAsia"/>
                <w:b/>
                <w:bCs/>
              </w:rPr>
            </w:pPr>
          </w:p>
        </w:tc>
        <w:tc>
          <w:tcPr>
            <w:tcW w:w="1958" w:type="pct"/>
            <w:vAlign w:val="top"/>
          </w:tcPr>
          <w:p w14:paraId="317B44F6">
            <w:pPr>
              <w:pStyle w:val="50"/>
              <w:bidi w:val="0"/>
              <w:rPr>
                <w:rFonts w:hint="eastAsia"/>
                <w:b/>
                <w:bCs/>
              </w:rPr>
            </w:pPr>
          </w:p>
        </w:tc>
        <w:tc>
          <w:tcPr>
            <w:tcW w:w="1854" w:type="pct"/>
            <w:vAlign w:val="top"/>
          </w:tcPr>
          <w:p w14:paraId="00E0C9DB">
            <w:pPr>
              <w:pStyle w:val="50"/>
              <w:bidi w:val="0"/>
              <w:rPr>
                <w:rFonts w:hint="eastAsia"/>
                <w:b/>
                <w:bCs/>
              </w:rPr>
            </w:pPr>
          </w:p>
        </w:tc>
        <w:tc>
          <w:tcPr>
            <w:tcW w:w="823" w:type="pct"/>
            <w:vAlign w:val="top"/>
          </w:tcPr>
          <w:p w14:paraId="416552FB">
            <w:pPr>
              <w:pStyle w:val="50"/>
              <w:bidi w:val="0"/>
              <w:rPr>
                <w:rFonts w:hint="eastAsia"/>
                <w:b/>
                <w:bCs/>
              </w:rPr>
            </w:pPr>
          </w:p>
        </w:tc>
      </w:tr>
      <w:tr w14:paraId="75692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63" w:type="pct"/>
            <w:vAlign w:val="top"/>
          </w:tcPr>
          <w:p w14:paraId="7E716415">
            <w:pPr>
              <w:pStyle w:val="50"/>
              <w:bidi w:val="0"/>
              <w:rPr>
                <w:rFonts w:hint="eastAsia"/>
                <w:b/>
                <w:bCs/>
              </w:rPr>
            </w:pPr>
          </w:p>
        </w:tc>
        <w:tc>
          <w:tcPr>
            <w:tcW w:w="1958" w:type="pct"/>
            <w:vAlign w:val="top"/>
          </w:tcPr>
          <w:p w14:paraId="36A5AEBF">
            <w:pPr>
              <w:pStyle w:val="50"/>
              <w:bidi w:val="0"/>
              <w:rPr>
                <w:rFonts w:hint="eastAsia"/>
                <w:b/>
                <w:bCs/>
              </w:rPr>
            </w:pPr>
          </w:p>
        </w:tc>
        <w:tc>
          <w:tcPr>
            <w:tcW w:w="1854" w:type="pct"/>
            <w:vAlign w:val="top"/>
          </w:tcPr>
          <w:p w14:paraId="3273D519">
            <w:pPr>
              <w:pStyle w:val="50"/>
              <w:bidi w:val="0"/>
              <w:rPr>
                <w:rFonts w:hint="eastAsia"/>
                <w:b/>
                <w:bCs/>
              </w:rPr>
            </w:pPr>
          </w:p>
        </w:tc>
        <w:tc>
          <w:tcPr>
            <w:tcW w:w="823" w:type="pct"/>
            <w:vAlign w:val="top"/>
          </w:tcPr>
          <w:p w14:paraId="3B17DD13">
            <w:pPr>
              <w:pStyle w:val="50"/>
              <w:bidi w:val="0"/>
              <w:rPr>
                <w:rFonts w:hint="eastAsia"/>
                <w:b/>
                <w:bCs/>
              </w:rPr>
            </w:pPr>
          </w:p>
        </w:tc>
      </w:tr>
      <w:tr w14:paraId="4C3D9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63" w:type="pct"/>
            <w:vAlign w:val="top"/>
          </w:tcPr>
          <w:p w14:paraId="4F639CDA">
            <w:pPr>
              <w:pStyle w:val="50"/>
              <w:bidi w:val="0"/>
              <w:rPr>
                <w:rFonts w:hint="eastAsia"/>
                <w:b/>
                <w:bCs/>
              </w:rPr>
            </w:pPr>
          </w:p>
        </w:tc>
        <w:tc>
          <w:tcPr>
            <w:tcW w:w="1958" w:type="pct"/>
            <w:vAlign w:val="top"/>
          </w:tcPr>
          <w:p w14:paraId="3DC118D0">
            <w:pPr>
              <w:pStyle w:val="50"/>
              <w:bidi w:val="0"/>
              <w:rPr>
                <w:rFonts w:hint="eastAsia"/>
                <w:b/>
                <w:bCs/>
              </w:rPr>
            </w:pPr>
          </w:p>
        </w:tc>
        <w:tc>
          <w:tcPr>
            <w:tcW w:w="1854" w:type="pct"/>
            <w:vAlign w:val="top"/>
          </w:tcPr>
          <w:p w14:paraId="13C8C787">
            <w:pPr>
              <w:pStyle w:val="50"/>
              <w:bidi w:val="0"/>
              <w:rPr>
                <w:rFonts w:hint="eastAsia"/>
                <w:b/>
                <w:bCs/>
              </w:rPr>
            </w:pPr>
          </w:p>
        </w:tc>
        <w:tc>
          <w:tcPr>
            <w:tcW w:w="823" w:type="pct"/>
            <w:vAlign w:val="top"/>
          </w:tcPr>
          <w:p w14:paraId="1E9B9BF9">
            <w:pPr>
              <w:pStyle w:val="50"/>
              <w:bidi w:val="0"/>
              <w:rPr>
                <w:rFonts w:hint="eastAsia"/>
                <w:b/>
                <w:bCs/>
              </w:rPr>
            </w:pPr>
          </w:p>
        </w:tc>
      </w:tr>
      <w:tr w14:paraId="5F3BE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363" w:type="pct"/>
            <w:vAlign w:val="top"/>
          </w:tcPr>
          <w:p w14:paraId="21801210">
            <w:pPr>
              <w:pStyle w:val="50"/>
              <w:bidi w:val="0"/>
              <w:rPr>
                <w:rFonts w:hint="eastAsia"/>
                <w:b/>
                <w:bCs/>
              </w:rPr>
            </w:pPr>
          </w:p>
        </w:tc>
        <w:tc>
          <w:tcPr>
            <w:tcW w:w="1958" w:type="pct"/>
            <w:vAlign w:val="top"/>
          </w:tcPr>
          <w:p w14:paraId="2AEB532A">
            <w:pPr>
              <w:pStyle w:val="50"/>
              <w:bidi w:val="0"/>
              <w:rPr>
                <w:rFonts w:hint="eastAsia"/>
                <w:b/>
                <w:bCs/>
              </w:rPr>
            </w:pPr>
          </w:p>
        </w:tc>
        <w:tc>
          <w:tcPr>
            <w:tcW w:w="1854" w:type="pct"/>
            <w:vAlign w:val="top"/>
          </w:tcPr>
          <w:p w14:paraId="11754EE1">
            <w:pPr>
              <w:pStyle w:val="50"/>
              <w:bidi w:val="0"/>
              <w:rPr>
                <w:rFonts w:hint="eastAsia"/>
                <w:b/>
                <w:bCs/>
              </w:rPr>
            </w:pPr>
          </w:p>
        </w:tc>
        <w:tc>
          <w:tcPr>
            <w:tcW w:w="823" w:type="pct"/>
            <w:vAlign w:val="top"/>
          </w:tcPr>
          <w:p w14:paraId="07A14819">
            <w:pPr>
              <w:pStyle w:val="50"/>
              <w:bidi w:val="0"/>
              <w:rPr>
                <w:rFonts w:hint="eastAsia"/>
                <w:b/>
                <w:bCs/>
              </w:rPr>
            </w:pPr>
          </w:p>
        </w:tc>
      </w:tr>
    </w:tbl>
    <w:p w14:paraId="4D8F561B">
      <w:pPr>
        <w:pStyle w:val="53"/>
        <w:bidi w:val="0"/>
        <w:rPr>
          <w:rFonts w:hint="default"/>
          <w:lang w:val="en-US" w:eastAsia="zh-CN"/>
        </w:rPr>
      </w:pPr>
      <w:r>
        <w:rPr>
          <w:rFonts w:hint="eastAsia"/>
          <w:lang w:eastAsia="zh-CN"/>
        </w:rPr>
        <w:t>注：</w:t>
      </w:r>
      <w:r>
        <w:rPr>
          <w:rFonts w:hint="eastAsia"/>
          <w:color w:val="000000" w:themeColor="text1"/>
          <w:highlight w:val="none"/>
          <w:lang w:eastAsia="zh-CN"/>
          <w14:textFill>
            <w14:solidFill>
              <w14:schemeClr w14:val="tx1"/>
            </w14:solidFill>
          </w14:textFill>
        </w:rPr>
        <w:t>如与竞争性磋商</w:t>
      </w:r>
      <w:r>
        <w:rPr>
          <w:rFonts w:hint="eastAsia"/>
          <w:color w:val="000000" w:themeColor="text1"/>
          <w:highlight w:val="none"/>
          <w:lang w:val="en-US" w:eastAsia="zh-CN"/>
          <w14:textFill>
            <w14:solidFill>
              <w14:schemeClr w14:val="tx1"/>
            </w14:solidFill>
          </w14:textFill>
        </w:rPr>
        <w:t>文件第五章商务要求</w:t>
      </w:r>
      <w:r>
        <w:rPr>
          <w:rFonts w:hint="eastAsia"/>
          <w:color w:val="000000" w:themeColor="text1"/>
          <w:highlight w:val="none"/>
          <w:lang w:eastAsia="zh-CN"/>
          <w14:textFill>
            <w14:solidFill>
              <w14:schemeClr w14:val="tx1"/>
            </w14:solidFill>
          </w14:textFill>
        </w:rPr>
        <w:t>有偏离(包括正偏离和负偏离)，请将偏离条款逐条应答。如与竞争性磋商</w:t>
      </w:r>
      <w:r>
        <w:rPr>
          <w:rFonts w:hint="eastAsia"/>
          <w:color w:val="000000" w:themeColor="text1"/>
          <w:highlight w:val="none"/>
          <w:lang w:val="en-US" w:eastAsia="zh-CN"/>
          <w14:textFill>
            <w14:solidFill>
              <w14:schemeClr w14:val="tx1"/>
            </w14:solidFill>
          </w14:textFill>
        </w:rPr>
        <w:t>文件第五章商务要求的所有</w:t>
      </w:r>
      <w:r>
        <w:rPr>
          <w:rFonts w:hint="eastAsia"/>
          <w:color w:val="000000" w:themeColor="text1"/>
          <w:highlight w:val="none"/>
          <w:lang w:eastAsia="zh-CN"/>
          <w14:textFill>
            <w14:solidFill>
              <w14:schemeClr w14:val="tx1"/>
            </w14:solidFill>
          </w14:textFill>
        </w:rPr>
        <w:t>条款无偏离，则无须在此表中应答，视为默认完全响应和接受竞争性磋商</w:t>
      </w:r>
      <w:r>
        <w:rPr>
          <w:rFonts w:hint="eastAsia"/>
          <w:color w:val="000000" w:themeColor="text1"/>
          <w:highlight w:val="none"/>
          <w:lang w:val="en-US" w:eastAsia="zh-CN"/>
          <w14:textFill>
            <w14:solidFill>
              <w14:schemeClr w14:val="tx1"/>
            </w14:solidFill>
          </w14:textFill>
        </w:rPr>
        <w:t>文件第五章所有商务要求</w:t>
      </w:r>
      <w:r>
        <w:rPr>
          <w:rFonts w:hint="eastAsia"/>
          <w:color w:val="000000" w:themeColor="text1"/>
          <w:highlight w:val="none"/>
          <w:lang w:eastAsia="zh-CN"/>
          <w14:textFill>
            <w14:solidFill>
              <w14:schemeClr w14:val="tx1"/>
            </w14:solidFill>
          </w14:textFill>
        </w:rPr>
        <w:t>，供应商不得以未作应答而拒不接受</w:t>
      </w:r>
      <w:r>
        <w:rPr>
          <w:rFonts w:hint="eastAsia"/>
          <w:lang w:eastAsia="zh-CN"/>
        </w:rPr>
        <w:t>。</w:t>
      </w:r>
      <w:r>
        <w:rPr>
          <w:rFonts w:hint="eastAsia"/>
          <w:color w:val="000000" w:themeColor="text1"/>
          <w:highlight w:val="none"/>
          <w:lang w:eastAsia="zh-CN"/>
          <w14:textFill>
            <w14:solidFill>
              <w14:schemeClr w14:val="tx1"/>
            </w14:solidFill>
          </w14:textFill>
        </w:rPr>
        <w:t>供应商必须据实填写，不得虚假应答，否则将取消其成交资格。</w:t>
      </w:r>
      <w:r>
        <w:rPr>
          <w:rFonts w:hint="eastAsia"/>
          <w:color w:val="000000" w:themeColor="text1"/>
          <w:highlight w:val="none"/>
          <w:lang w:val="en-US" w:eastAsia="zh-CN"/>
          <w14:textFill>
            <w14:solidFill>
              <w14:schemeClr w14:val="tx1"/>
            </w14:solidFill>
          </w14:textFill>
        </w:rPr>
        <w:t>第五章商务要求中要求提供承诺函或证明材料进行响应的从其规定。</w:t>
      </w:r>
    </w:p>
    <w:p w14:paraId="5383FB7E">
      <w:pPr>
        <w:pStyle w:val="48"/>
        <w:bidi w:val="0"/>
        <w:rPr>
          <w:rFonts w:hint="eastAsia"/>
          <w:lang w:eastAsia="zh-CN"/>
        </w:rPr>
      </w:pPr>
    </w:p>
    <w:p w14:paraId="77190FD6">
      <w:pPr>
        <w:pStyle w:val="48"/>
        <w:bidi w:val="0"/>
        <w:rPr>
          <w:rFonts w:hint="eastAsia"/>
          <w:lang w:eastAsia="zh-CN"/>
        </w:rPr>
      </w:pPr>
    </w:p>
    <w:p w14:paraId="506B42C5">
      <w:pPr>
        <w:pStyle w:val="51"/>
        <w:bidi w:val="0"/>
        <w:rPr>
          <w:rFonts w:hint="eastAsia"/>
        </w:rPr>
      </w:pPr>
      <w:r>
        <w:rPr>
          <w:rFonts w:hint="eastAsia"/>
          <w:lang w:val="en-US" w:eastAsia="zh-CN"/>
        </w:rPr>
        <w:t>供应商</w:t>
      </w:r>
      <w:r>
        <w:rPr>
          <w:rFonts w:hint="eastAsia"/>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(盖章)</w:t>
      </w:r>
    </w:p>
    <w:p w14:paraId="35F9D639">
      <w:pPr>
        <w:pStyle w:val="51"/>
        <w:bidi w:val="0"/>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(签字</w:t>
      </w:r>
      <w:r>
        <w:rPr>
          <w:rFonts w:hint="eastAsia"/>
          <w:lang w:eastAsia="zh-CN"/>
        </w:rPr>
        <w:t>或盖章</w:t>
      </w:r>
      <w:r>
        <w:rPr>
          <w:rFonts w:hint="eastAsia"/>
        </w:rPr>
        <w:t>)</w:t>
      </w:r>
    </w:p>
    <w:p w14:paraId="44599C1D">
      <w:pPr>
        <w:pStyle w:val="51"/>
        <w:bidi w:val="0"/>
        <w:rPr>
          <w:rFonts w:hint="eastAsia"/>
        </w:rPr>
      </w:pPr>
      <w:r>
        <w:rPr>
          <w:rFonts w:hint="eastAsia"/>
          <w:lang w:val="en-US" w:eastAsia="zh-CN"/>
        </w:rPr>
        <w:t>磋商</w:t>
      </w:r>
      <w:r>
        <w:rPr>
          <w:rFonts w:hint="eastAsia"/>
        </w:rPr>
        <w:t>日期</w:t>
      </w:r>
      <w:r>
        <w:rPr>
          <w:rFonts w:hint="eastAsia"/>
          <w:lang w:eastAsia="zh-CN"/>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lang w:val="en-US" w:eastAsia="zh-CN"/>
        </w:rPr>
        <w:t xml:space="preserve">          </w:t>
      </w:r>
      <w:r>
        <w:rPr>
          <w:rFonts w:hint="eastAsia"/>
        </w:rPr>
        <w:t xml:space="preserve">   </w:t>
      </w:r>
    </w:p>
    <w:p w14:paraId="44D90326">
      <w:pPr>
        <w:pStyle w:val="48"/>
        <w:bidi w:val="0"/>
        <w:rPr>
          <w:rFonts w:hint="eastAsia"/>
          <w:lang w:val="en-US" w:eastAsia="zh-CN"/>
        </w:rPr>
      </w:pPr>
      <w:r>
        <w:rPr>
          <w:rFonts w:hint="eastAsia"/>
          <w:lang w:val="en-US" w:eastAsia="zh-CN"/>
        </w:rPr>
        <w:br w:type="page"/>
      </w:r>
    </w:p>
    <w:p w14:paraId="0719A724">
      <w:pPr>
        <w:pStyle w:val="49"/>
        <w:numPr>
          <w:ilvl w:val="0"/>
          <w:numId w:val="15"/>
        </w:numPr>
        <w:bidi w:val="0"/>
        <w:ind w:left="0" w:leftChars="0" w:firstLine="0" w:firstLineChars="0"/>
        <w:rPr>
          <w:rFonts w:hint="eastAsia"/>
          <w:lang w:val="en-US" w:eastAsia="zh-CN"/>
        </w:rPr>
      </w:pPr>
      <w:bookmarkStart w:id="391" w:name="_Toc3995"/>
      <w:bookmarkStart w:id="392" w:name="_Toc3337"/>
      <w:bookmarkStart w:id="393" w:name="_Toc23376"/>
      <w:bookmarkStart w:id="394" w:name="_Toc25122"/>
      <w:bookmarkStart w:id="395" w:name="_Toc19428"/>
      <w:bookmarkStart w:id="396" w:name="_Toc11251"/>
      <w:r>
        <w:rPr>
          <w:rFonts w:hint="eastAsia"/>
          <w:lang w:val="en-US" w:eastAsia="zh-CN"/>
        </w:rPr>
        <w:t>服务应答表</w:t>
      </w:r>
      <w:bookmarkEnd w:id="391"/>
      <w:bookmarkEnd w:id="392"/>
      <w:bookmarkEnd w:id="393"/>
      <w:bookmarkEnd w:id="394"/>
      <w:bookmarkEnd w:id="395"/>
      <w:bookmarkEnd w:id="396"/>
    </w:p>
    <w:p w14:paraId="75625C16">
      <w:pPr>
        <w:pStyle w:val="48"/>
        <w:bidi w:val="0"/>
        <w:rPr>
          <w:rFonts w:hint="eastAsia"/>
          <w:b w:val="0"/>
          <w:bCs w:val="0"/>
        </w:rPr>
      </w:pPr>
      <w:r>
        <w:rPr>
          <w:rFonts w:hint="eastAsia"/>
          <w:b w:val="0"/>
          <w:bCs w:val="0"/>
        </w:rPr>
        <w:t>项目名称：</w:t>
      </w:r>
      <w:r>
        <w:rPr>
          <w:rFonts w:hint="eastAsia"/>
          <w:b w:val="0"/>
          <w:bCs w:val="0"/>
          <w:u w:val="single"/>
        </w:rPr>
        <w:t xml:space="preserve">                        </w:t>
      </w:r>
      <w:r>
        <w:rPr>
          <w:rFonts w:hint="eastAsia"/>
          <w:b w:val="0"/>
          <w:bCs w:val="0"/>
        </w:rPr>
        <w:t xml:space="preserve">      </w:t>
      </w:r>
    </w:p>
    <w:p w14:paraId="2E830156">
      <w:pPr>
        <w:pStyle w:val="48"/>
        <w:bidi w:val="0"/>
        <w:rPr>
          <w:rFonts w:hint="eastAsia"/>
          <w:b w:val="0"/>
          <w:bCs w:val="0"/>
          <w:highlight w:val="yellow"/>
          <w:u w:val="single"/>
        </w:rPr>
      </w:pPr>
      <w:r>
        <w:rPr>
          <w:rFonts w:hint="eastAsia"/>
          <w:b w:val="0"/>
          <w:bCs w:val="0"/>
        </w:rPr>
        <w:t>项目编号：</w:t>
      </w:r>
      <w:r>
        <w:rPr>
          <w:rFonts w:hint="eastAsia"/>
          <w:b w:val="0"/>
          <w:bCs w:val="0"/>
          <w:u w:val="single"/>
        </w:rPr>
        <w:t xml:space="preserve">                        </w:t>
      </w:r>
      <w:r>
        <w:rPr>
          <w:rFonts w:hint="eastAsia"/>
          <w:b w:val="0"/>
          <w:bCs w:val="0"/>
        </w:rPr>
        <w:t xml:space="preserve">                   </w:t>
      </w:r>
      <w:r>
        <w:rPr>
          <w:rFonts w:hint="eastAsia"/>
          <w:b w:val="0"/>
          <w:bCs w:val="0"/>
          <w:lang w:val="en-US" w:eastAsia="zh-CN"/>
        </w:rPr>
        <w:t xml:space="preserve">             </w:t>
      </w:r>
      <w:r>
        <w:rPr>
          <w:rFonts w:hint="eastAsia"/>
          <w:b w:val="0"/>
          <w:bCs w:val="0"/>
        </w:rPr>
        <w:t xml:space="preserve">  </w:t>
      </w:r>
      <w:r>
        <w:rPr>
          <w:rFonts w:hint="eastAsia"/>
          <w:b w:val="0"/>
          <w:bCs w:val="0"/>
          <w:lang w:val="en-US" w:eastAsia="zh-CN"/>
        </w:rPr>
        <w:t xml:space="preserve">  </w:t>
      </w:r>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4"/>
        <w:gridCol w:w="3565"/>
        <w:gridCol w:w="3187"/>
        <w:gridCol w:w="1103"/>
      </w:tblGrid>
      <w:tr w14:paraId="7D04B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90" w:type="pct"/>
            <w:vAlign w:val="center"/>
          </w:tcPr>
          <w:p w14:paraId="45577891">
            <w:pPr>
              <w:pStyle w:val="50"/>
              <w:bidi w:val="0"/>
              <w:rPr>
                <w:rFonts w:hint="eastAsia"/>
                <w:b/>
                <w:bCs/>
              </w:rPr>
            </w:pPr>
            <w:r>
              <w:rPr>
                <w:rFonts w:hint="eastAsia"/>
                <w:b/>
                <w:bCs/>
              </w:rPr>
              <w:t>序号</w:t>
            </w:r>
          </w:p>
        </w:tc>
        <w:tc>
          <w:tcPr>
            <w:tcW w:w="2092" w:type="pct"/>
            <w:vAlign w:val="center"/>
          </w:tcPr>
          <w:p w14:paraId="71121E3A">
            <w:pPr>
              <w:pStyle w:val="50"/>
              <w:bidi w:val="0"/>
              <w:rPr>
                <w:rFonts w:hint="eastAsia"/>
                <w:b/>
                <w:bCs/>
              </w:rPr>
            </w:pPr>
            <w:r>
              <w:rPr>
                <w:rFonts w:hint="eastAsia"/>
                <w:b/>
                <w:bCs/>
                <w:lang w:val="en-US" w:eastAsia="zh-CN"/>
              </w:rPr>
              <w:t>竞争性磋商</w:t>
            </w:r>
            <w:r>
              <w:rPr>
                <w:rFonts w:hint="eastAsia"/>
                <w:b/>
                <w:bCs/>
              </w:rPr>
              <w:t>文件</w:t>
            </w:r>
            <w:r>
              <w:rPr>
                <w:rFonts w:hint="eastAsia" w:asciiTheme="minorEastAsia" w:hAnsiTheme="minorEastAsia" w:eastAsiaTheme="minorEastAsia" w:cstheme="minorEastAsia"/>
                <w:b/>
                <w:bCs/>
                <w:color w:val="000000"/>
                <w:sz w:val="21"/>
                <w:szCs w:val="21"/>
                <w:lang w:val="en-US" w:eastAsia="zh-CN"/>
              </w:rPr>
              <w:t>第</w:t>
            </w:r>
            <w:r>
              <w:rPr>
                <w:rFonts w:hint="eastAsia" w:asciiTheme="minorEastAsia" w:hAnsiTheme="minorEastAsia" w:eastAsiaTheme="minorEastAsia" w:cstheme="minorEastAsia"/>
                <w:b/>
                <w:bCs/>
                <w:color w:val="000000" w:themeColor="text1"/>
                <w:sz w:val="21"/>
                <w:szCs w:val="21"/>
                <w:highlight w:val="none"/>
                <w:lang w:val="en-US" w:eastAsia="zh-CN"/>
                <w14:textFill>
                  <w14:solidFill>
                    <w14:schemeClr w14:val="tx1"/>
                  </w14:solidFill>
                </w14:textFill>
              </w:rPr>
              <w:t>五章</w:t>
            </w:r>
            <w:r>
              <w:rPr>
                <w:rFonts w:hint="eastAsia"/>
                <w:b/>
                <w:bCs/>
                <w:color w:val="000000" w:themeColor="text1"/>
                <w:highlight w:val="none"/>
                <w:lang w:val="en-US" w:eastAsia="zh-CN"/>
                <w14:textFill>
                  <w14:solidFill>
                    <w14:schemeClr w14:val="tx1"/>
                  </w14:solidFill>
                </w14:textFill>
              </w:rPr>
              <w:t>服务</w:t>
            </w:r>
            <w:r>
              <w:rPr>
                <w:rFonts w:hint="eastAsia"/>
                <w:b/>
                <w:bCs/>
                <w:color w:val="000000" w:themeColor="text1"/>
                <w:highlight w:val="none"/>
                <w14:textFill>
                  <w14:solidFill>
                    <w14:schemeClr w14:val="tx1"/>
                  </w14:solidFill>
                </w14:textFill>
              </w:rPr>
              <w:t>要求</w:t>
            </w:r>
          </w:p>
        </w:tc>
        <w:tc>
          <w:tcPr>
            <w:tcW w:w="1870" w:type="pct"/>
            <w:vAlign w:val="center"/>
          </w:tcPr>
          <w:p w14:paraId="56BB1A20">
            <w:pPr>
              <w:pStyle w:val="50"/>
              <w:bidi w:val="0"/>
              <w:rPr>
                <w:rFonts w:hint="eastAsia"/>
                <w:b/>
                <w:bCs/>
              </w:rPr>
            </w:pPr>
            <w:r>
              <w:rPr>
                <w:rFonts w:hint="eastAsia"/>
                <w:b/>
                <w:bCs/>
                <w:lang w:val="en-US" w:eastAsia="zh-CN"/>
              </w:rPr>
              <w:t>响应</w:t>
            </w:r>
            <w:r>
              <w:rPr>
                <w:rFonts w:hint="eastAsia"/>
                <w:b/>
                <w:bCs/>
              </w:rPr>
              <w:t>文件响应情况</w:t>
            </w:r>
          </w:p>
        </w:tc>
        <w:tc>
          <w:tcPr>
            <w:tcW w:w="647" w:type="pct"/>
            <w:vAlign w:val="center"/>
          </w:tcPr>
          <w:p w14:paraId="34BE5E89">
            <w:pPr>
              <w:pStyle w:val="50"/>
              <w:bidi w:val="0"/>
              <w:rPr>
                <w:rFonts w:hint="eastAsia"/>
                <w:b/>
                <w:bCs/>
                <w:lang w:val="en-US" w:eastAsia="zh-CN"/>
              </w:rPr>
            </w:pPr>
            <w:r>
              <w:rPr>
                <w:rFonts w:hint="eastAsia"/>
                <w:b/>
                <w:bCs/>
              </w:rPr>
              <w:t>偏离情况</w:t>
            </w:r>
          </w:p>
        </w:tc>
      </w:tr>
      <w:tr w14:paraId="1852A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90" w:type="pct"/>
            <w:vAlign w:val="top"/>
          </w:tcPr>
          <w:p w14:paraId="6C47A620">
            <w:pPr>
              <w:pStyle w:val="50"/>
              <w:bidi w:val="0"/>
              <w:rPr>
                <w:rFonts w:hint="eastAsia"/>
                <w:b/>
                <w:bCs/>
              </w:rPr>
            </w:pPr>
          </w:p>
        </w:tc>
        <w:tc>
          <w:tcPr>
            <w:tcW w:w="2092" w:type="pct"/>
            <w:vAlign w:val="top"/>
          </w:tcPr>
          <w:p w14:paraId="13747FB7">
            <w:pPr>
              <w:pStyle w:val="50"/>
              <w:bidi w:val="0"/>
              <w:rPr>
                <w:rFonts w:hint="eastAsia"/>
                <w:b/>
                <w:bCs/>
              </w:rPr>
            </w:pPr>
          </w:p>
        </w:tc>
        <w:tc>
          <w:tcPr>
            <w:tcW w:w="1870" w:type="pct"/>
            <w:vAlign w:val="top"/>
          </w:tcPr>
          <w:p w14:paraId="0AF2350D">
            <w:pPr>
              <w:pStyle w:val="50"/>
              <w:bidi w:val="0"/>
              <w:rPr>
                <w:rFonts w:hint="eastAsia"/>
                <w:b/>
                <w:bCs/>
              </w:rPr>
            </w:pPr>
          </w:p>
        </w:tc>
        <w:tc>
          <w:tcPr>
            <w:tcW w:w="647" w:type="pct"/>
            <w:vAlign w:val="top"/>
          </w:tcPr>
          <w:p w14:paraId="06AD039B">
            <w:pPr>
              <w:pStyle w:val="50"/>
              <w:bidi w:val="0"/>
              <w:rPr>
                <w:rFonts w:hint="eastAsia"/>
                <w:b/>
                <w:bCs/>
              </w:rPr>
            </w:pPr>
          </w:p>
        </w:tc>
      </w:tr>
      <w:tr w14:paraId="7C371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90" w:type="pct"/>
            <w:vAlign w:val="top"/>
          </w:tcPr>
          <w:p w14:paraId="7DCFC44C">
            <w:pPr>
              <w:pStyle w:val="50"/>
              <w:bidi w:val="0"/>
              <w:rPr>
                <w:rFonts w:hint="eastAsia"/>
                <w:b/>
                <w:bCs/>
              </w:rPr>
            </w:pPr>
          </w:p>
        </w:tc>
        <w:tc>
          <w:tcPr>
            <w:tcW w:w="2092" w:type="pct"/>
            <w:vAlign w:val="top"/>
          </w:tcPr>
          <w:p w14:paraId="5ABE7535">
            <w:pPr>
              <w:pStyle w:val="50"/>
              <w:bidi w:val="0"/>
              <w:rPr>
                <w:rFonts w:hint="eastAsia"/>
                <w:b/>
                <w:bCs/>
              </w:rPr>
            </w:pPr>
          </w:p>
        </w:tc>
        <w:tc>
          <w:tcPr>
            <w:tcW w:w="1870" w:type="pct"/>
            <w:vAlign w:val="top"/>
          </w:tcPr>
          <w:p w14:paraId="3D2CAF39">
            <w:pPr>
              <w:pStyle w:val="50"/>
              <w:bidi w:val="0"/>
              <w:rPr>
                <w:rFonts w:hint="eastAsia"/>
                <w:b/>
                <w:bCs/>
              </w:rPr>
            </w:pPr>
          </w:p>
        </w:tc>
        <w:tc>
          <w:tcPr>
            <w:tcW w:w="647" w:type="pct"/>
            <w:vAlign w:val="top"/>
          </w:tcPr>
          <w:p w14:paraId="7D9C06BC">
            <w:pPr>
              <w:pStyle w:val="50"/>
              <w:bidi w:val="0"/>
              <w:rPr>
                <w:rFonts w:hint="eastAsia"/>
                <w:b/>
                <w:bCs/>
              </w:rPr>
            </w:pPr>
          </w:p>
        </w:tc>
      </w:tr>
      <w:tr w14:paraId="3A60B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90" w:type="pct"/>
            <w:vAlign w:val="top"/>
          </w:tcPr>
          <w:p w14:paraId="2CDD70BF">
            <w:pPr>
              <w:pStyle w:val="50"/>
              <w:bidi w:val="0"/>
              <w:rPr>
                <w:rFonts w:hint="eastAsia"/>
                <w:b/>
                <w:bCs/>
              </w:rPr>
            </w:pPr>
          </w:p>
        </w:tc>
        <w:tc>
          <w:tcPr>
            <w:tcW w:w="2092" w:type="pct"/>
            <w:vAlign w:val="top"/>
          </w:tcPr>
          <w:p w14:paraId="43679F46">
            <w:pPr>
              <w:pStyle w:val="50"/>
              <w:bidi w:val="0"/>
              <w:rPr>
                <w:rFonts w:hint="eastAsia"/>
                <w:b/>
                <w:bCs/>
              </w:rPr>
            </w:pPr>
          </w:p>
        </w:tc>
        <w:tc>
          <w:tcPr>
            <w:tcW w:w="1870" w:type="pct"/>
            <w:vAlign w:val="top"/>
          </w:tcPr>
          <w:p w14:paraId="3B0621EA">
            <w:pPr>
              <w:pStyle w:val="50"/>
              <w:bidi w:val="0"/>
              <w:rPr>
                <w:rFonts w:hint="eastAsia"/>
                <w:b/>
                <w:bCs/>
              </w:rPr>
            </w:pPr>
          </w:p>
        </w:tc>
        <w:tc>
          <w:tcPr>
            <w:tcW w:w="647" w:type="pct"/>
            <w:vAlign w:val="top"/>
          </w:tcPr>
          <w:p w14:paraId="1A018883">
            <w:pPr>
              <w:pStyle w:val="50"/>
              <w:bidi w:val="0"/>
              <w:rPr>
                <w:rFonts w:hint="eastAsia"/>
                <w:b/>
                <w:bCs/>
              </w:rPr>
            </w:pPr>
          </w:p>
        </w:tc>
      </w:tr>
      <w:tr w14:paraId="003AF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390" w:type="pct"/>
            <w:vAlign w:val="top"/>
          </w:tcPr>
          <w:p w14:paraId="0884EE98">
            <w:pPr>
              <w:pStyle w:val="50"/>
              <w:bidi w:val="0"/>
              <w:rPr>
                <w:rFonts w:hint="eastAsia"/>
                <w:b/>
                <w:bCs/>
              </w:rPr>
            </w:pPr>
          </w:p>
        </w:tc>
        <w:tc>
          <w:tcPr>
            <w:tcW w:w="2092" w:type="pct"/>
            <w:vAlign w:val="top"/>
          </w:tcPr>
          <w:p w14:paraId="736F89FA">
            <w:pPr>
              <w:pStyle w:val="50"/>
              <w:bidi w:val="0"/>
              <w:rPr>
                <w:rFonts w:hint="eastAsia"/>
                <w:b/>
                <w:bCs/>
              </w:rPr>
            </w:pPr>
          </w:p>
        </w:tc>
        <w:tc>
          <w:tcPr>
            <w:tcW w:w="1870" w:type="pct"/>
            <w:vAlign w:val="top"/>
          </w:tcPr>
          <w:p w14:paraId="7616AC86">
            <w:pPr>
              <w:pStyle w:val="50"/>
              <w:bidi w:val="0"/>
              <w:rPr>
                <w:rFonts w:hint="eastAsia"/>
                <w:b/>
                <w:bCs/>
              </w:rPr>
            </w:pPr>
          </w:p>
        </w:tc>
        <w:tc>
          <w:tcPr>
            <w:tcW w:w="647" w:type="pct"/>
            <w:vAlign w:val="top"/>
          </w:tcPr>
          <w:p w14:paraId="7B4CB23C">
            <w:pPr>
              <w:pStyle w:val="50"/>
              <w:bidi w:val="0"/>
              <w:rPr>
                <w:rFonts w:hint="eastAsia"/>
                <w:b/>
                <w:bCs/>
              </w:rPr>
            </w:pPr>
          </w:p>
        </w:tc>
      </w:tr>
    </w:tbl>
    <w:p w14:paraId="6AE83AE1">
      <w:pPr>
        <w:pStyle w:val="53"/>
        <w:bidi w:val="0"/>
        <w:rPr>
          <w:rFonts w:hint="eastAsia"/>
          <w:lang w:eastAsia="zh-CN"/>
        </w:rPr>
      </w:pPr>
      <w:r>
        <w:rPr>
          <w:rFonts w:hint="eastAsia"/>
        </w:rPr>
        <w:t>注：</w:t>
      </w:r>
      <w:r>
        <w:rPr>
          <w:rFonts w:hint="eastAsia"/>
          <w:lang w:eastAsia="zh-CN"/>
        </w:rPr>
        <w:t>如与</w:t>
      </w:r>
      <w:r>
        <w:rPr>
          <w:rFonts w:hint="eastAsia" w:asciiTheme="minorEastAsia" w:hAnsiTheme="minorEastAsia" w:eastAsiaTheme="minorEastAsia" w:cstheme="minorEastAsia"/>
          <w:sz w:val="24"/>
          <w:lang w:val="en-US" w:eastAsia="zh-CN"/>
        </w:rPr>
        <w:t>竞争性磋商</w:t>
      </w:r>
      <w:r>
        <w:rPr>
          <w:rFonts w:hint="eastAsia" w:asciiTheme="minorEastAsia" w:hAnsiTheme="minorEastAsia" w:eastAsiaTheme="minorEastAsia" w:cstheme="minorEastAsia"/>
          <w:sz w:val="24"/>
        </w:rPr>
        <w:t>文件</w:t>
      </w:r>
      <w:r>
        <w:rPr>
          <w:rFonts w:hint="eastAsia"/>
          <w:lang w:val="en-US" w:eastAsia="zh-CN"/>
        </w:rPr>
        <w:t>第</w:t>
      </w:r>
      <w:r>
        <w:rPr>
          <w:rFonts w:hint="eastAsia"/>
          <w:highlight w:val="none"/>
          <w:lang w:val="en-US" w:eastAsia="zh-CN"/>
        </w:rPr>
        <w:t>五章</w:t>
      </w:r>
      <w:r>
        <w:rPr>
          <w:rFonts w:hint="eastAsia"/>
          <w:b/>
          <w:bCs/>
          <w:highlight w:val="none"/>
          <w:lang w:val="en-US" w:eastAsia="zh-CN"/>
        </w:rPr>
        <w:t>服务</w:t>
      </w:r>
      <w:r>
        <w:rPr>
          <w:rFonts w:hint="eastAsia"/>
          <w:b/>
          <w:bCs/>
          <w:highlight w:val="none"/>
        </w:rPr>
        <w:t>要求</w:t>
      </w:r>
      <w:r>
        <w:rPr>
          <w:rFonts w:hint="eastAsia"/>
          <w:highlight w:val="none"/>
          <w:lang w:val="en-US" w:eastAsia="zh-CN"/>
        </w:rPr>
        <w:t>的内容</w:t>
      </w:r>
      <w:r>
        <w:rPr>
          <w:rFonts w:hint="eastAsia"/>
          <w:highlight w:val="none"/>
          <w:lang w:eastAsia="zh-CN"/>
        </w:rPr>
        <w:t>有偏离(包括正偏离和负偏离)，请将偏离条款逐条应答。如与</w:t>
      </w:r>
      <w:r>
        <w:rPr>
          <w:rFonts w:hint="eastAsia" w:asciiTheme="minorEastAsia" w:hAnsiTheme="minorEastAsia" w:eastAsiaTheme="minorEastAsia" w:cstheme="minorEastAsia"/>
          <w:sz w:val="24"/>
          <w:highlight w:val="none"/>
          <w:lang w:val="en-US" w:eastAsia="zh-CN"/>
        </w:rPr>
        <w:t>竞争性磋商</w:t>
      </w:r>
      <w:r>
        <w:rPr>
          <w:rFonts w:hint="eastAsia" w:asciiTheme="minorEastAsia" w:hAnsiTheme="minorEastAsia" w:eastAsiaTheme="minorEastAsia" w:cstheme="minorEastAsia"/>
          <w:sz w:val="24"/>
          <w:highlight w:val="none"/>
        </w:rPr>
        <w:t>文件</w:t>
      </w:r>
      <w:r>
        <w:rPr>
          <w:rFonts w:hint="eastAsia"/>
          <w:highlight w:val="none"/>
          <w:lang w:val="en-US" w:eastAsia="zh-CN"/>
        </w:rPr>
        <w:t>第五章</w:t>
      </w:r>
      <w:r>
        <w:rPr>
          <w:rFonts w:hint="eastAsia"/>
          <w:b/>
          <w:bCs/>
          <w:highlight w:val="none"/>
          <w:lang w:val="en-US" w:eastAsia="zh-CN"/>
        </w:rPr>
        <w:t>服务</w:t>
      </w:r>
      <w:r>
        <w:rPr>
          <w:rFonts w:hint="eastAsia"/>
          <w:b/>
          <w:bCs/>
          <w:highlight w:val="none"/>
        </w:rPr>
        <w:t>要求</w:t>
      </w:r>
      <w:r>
        <w:rPr>
          <w:rFonts w:hint="eastAsia"/>
          <w:highlight w:val="none"/>
          <w:lang w:val="en-US" w:eastAsia="zh-CN"/>
        </w:rPr>
        <w:t>的所有</w:t>
      </w:r>
      <w:r>
        <w:rPr>
          <w:rFonts w:hint="eastAsia"/>
          <w:highlight w:val="none"/>
          <w:lang w:eastAsia="zh-CN"/>
        </w:rPr>
        <w:t>条款无偏离，则无须在此表中应答，视为默认完全响应和接受</w:t>
      </w:r>
      <w:r>
        <w:rPr>
          <w:rFonts w:hint="eastAsia" w:asciiTheme="minorEastAsia" w:hAnsiTheme="minorEastAsia" w:eastAsiaTheme="minorEastAsia" w:cstheme="minorEastAsia"/>
          <w:sz w:val="24"/>
          <w:highlight w:val="none"/>
          <w:lang w:val="en-US" w:eastAsia="zh-CN"/>
        </w:rPr>
        <w:t>竞争性磋商</w:t>
      </w:r>
      <w:r>
        <w:rPr>
          <w:rFonts w:hint="eastAsia" w:asciiTheme="minorEastAsia" w:hAnsiTheme="minorEastAsia" w:eastAsiaTheme="minorEastAsia" w:cstheme="minorEastAsia"/>
          <w:sz w:val="24"/>
          <w:highlight w:val="none"/>
        </w:rPr>
        <w:t>文件</w:t>
      </w:r>
      <w:r>
        <w:rPr>
          <w:rFonts w:hint="eastAsia"/>
          <w:highlight w:val="none"/>
          <w:lang w:val="en-US" w:eastAsia="zh-CN"/>
        </w:rPr>
        <w:t>第五章</w:t>
      </w:r>
      <w:r>
        <w:rPr>
          <w:rFonts w:hint="eastAsia"/>
          <w:b/>
          <w:bCs/>
          <w:highlight w:val="none"/>
          <w:lang w:val="en-US" w:eastAsia="zh-CN"/>
        </w:rPr>
        <w:t>服务</w:t>
      </w:r>
      <w:r>
        <w:rPr>
          <w:rFonts w:hint="eastAsia"/>
          <w:b/>
          <w:bCs/>
          <w:highlight w:val="none"/>
        </w:rPr>
        <w:t>要求</w:t>
      </w:r>
      <w:r>
        <w:rPr>
          <w:rFonts w:hint="eastAsia"/>
          <w:highlight w:val="none"/>
          <w:lang w:val="en-US" w:eastAsia="zh-CN"/>
        </w:rPr>
        <w:t>所有</w:t>
      </w:r>
      <w:r>
        <w:rPr>
          <w:rFonts w:hint="eastAsia"/>
          <w:lang w:eastAsia="zh-CN"/>
        </w:rPr>
        <w:t>的内容，供应商不得以未作应答而拒不接受。供应商必须据实填写，不得虚假应答，否则将取消其</w:t>
      </w:r>
      <w:r>
        <w:rPr>
          <w:rFonts w:hint="eastAsia" w:asciiTheme="minorEastAsia" w:hAnsiTheme="minorEastAsia" w:eastAsiaTheme="minorEastAsia" w:cstheme="minorEastAsia"/>
          <w:sz w:val="24"/>
          <w:lang w:val="en-US" w:eastAsia="zh-CN"/>
        </w:rPr>
        <w:t>成交</w:t>
      </w:r>
      <w:r>
        <w:rPr>
          <w:rFonts w:hint="eastAsia"/>
          <w:lang w:eastAsia="zh-CN"/>
        </w:rPr>
        <w:t>资格。</w:t>
      </w:r>
      <w:r>
        <w:rPr>
          <w:rFonts w:hint="eastAsia"/>
          <w:color w:val="000000" w:themeColor="text1"/>
          <w:highlight w:val="none"/>
          <w:lang w:val="en-US" w:eastAsia="zh-CN"/>
          <w14:textFill>
            <w14:solidFill>
              <w14:schemeClr w14:val="tx1"/>
            </w14:solidFill>
          </w14:textFill>
        </w:rPr>
        <w:t>第五章服务要求中要求提供承诺函或证明材料进行响应的从其规定。</w:t>
      </w:r>
    </w:p>
    <w:p w14:paraId="52AAD523">
      <w:pPr>
        <w:pStyle w:val="48"/>
        <w:bidi w:val="0"/>
        <w:rPr>
          <w:rFonts w:hint="eastAsia"/>
        </w:rPr>
      </w:pPr>
    </w:p>
    <w:p w14:paraId="60C747C1">
      <w:pPr>
        <w:pStyle w:val="48"/>
        <w:bidi w:val="0"/>
        <w:rPr>
          <w:rFonts w:hint="eastAsia"/>
        </w:rPr>
      </w:pPr>
    </w:p>
    <w:p w14:paraId="24CE4CB4">
      <w:pPr>
        <w:pStyle w:val="48"/>
        <w:bidi w:val="0"/>
        <w:rPr>
          <w:rFonts w:hint="eastAsia"/>
        </w:rPr>
      </w:pPr>
    </w:p>
    <w:p w14:paraId="6A92944D">
      <w:pPr>
        <w:pStyle w:val="51"/>
        <w:bidi w:val="0"/>
        <w:rPr>
          <w:rFonts w:hint="eastAsia"/>
        </w:rPr>
      </w:pPr>
      <w:r>
        <w:rPr>
          <w:rFonts w:hint="eastAsia"/>
          <w:lang w:val="en-US" w:eastAsia="zh-CN"/>
        </w:rPr>
        <w:t>供应商</w:t>
      </w:r>
      <w:r>
        <w:rPr>
          <w:rFonts w:hint="eastAsia"/>
        </w:rPr>
        <w:t>名称：</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(盖章)</w:t>
      </w:r>
    </w:p>
    <w:p w14:paraId="696F5F9C">
      <w:pPr>
        <w:pStyle w:val="51"/>
        <w:bidi w:val="0"/>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(签字</w:t>
      </w:r>
      <w:r>
        <w:rPr>
          <w:rFonts w:hint="eastAsia"/>
          <w:lang w:eastAsia="zh-CN"/>
        </w:rPr>
        <w:t>或盖章</w:t>
      </w:r>
      <w:r>
        <w:rPr>
          <w:rFonts w:hint="eastAsia"/>
        </w:rPr>
        <w:t>)</w:t>
      </w:r>
    </w:p>
    <w:p w14:paraId="68C25FBB">
      <w:pPr>
        <w:pStyle w:val="51"/>
        <w:bidi w:val="0"/>
        <w:rPr>
          <w:rFonts w:hint="eastAsia"/>
        </w:rPr>
      </w:pPr>
      <w:r>
        <w:rPr>
          <w:rFonts w:hint="eastAsia"/>
          <w:lang w:val="en-US" w:eastAsia="zh-CN"/>
        </w:rPr>
        <w:t>磋商</w:t>
      </w:r>
      <w:r>
        <w:rPr>
          <w:rFonts w:hint="eastAsia"/>
        </w:rPr>
        <w:t>日期</w:t>
      </w:r>
      <w:r>
        <w:rPr>
          <w:rFonts w:hint="eastAsia"/>
          <w:lang w:eastAsia="zh-CN"/>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asciiTheme="minorEastAsia" w:hAnsiTheme="minorEastAsia" w:eastAsiaTheme="minorEastAsia" w:cstheme="minorEastAsia"/>
          <w:bCs/>
          <w:color w:val="auto"/>
          <w:sz w:val="24"/>
          <w:szCs w:val="24"/>
          <w:highlight w:val="none"/>
          <w:u w:val="single"/>
          <w:lang w:val="en-US" w:eastAsia="zh-CN"/>
        </w:rPr>
        <w:t xml:space="preserve">          </w:t>
      </w:r>
      <w:r>
        <w:rPr>
          <w:rFonts w:hint="eastAsia" w:asciiTheme="minorEastAsia" w:hAnsiTheme="minorEastAsia" w:eastAsiaTheme="minorEastAsia" w:cstheme="minorEastAsia"/>
          <w:bCs/>
          <w:color w:val="auto"/>
          <w:sz w:val="24"/>
          <w:szCs w:val="24"/>
          <w:highlight w:val="none"/>
          <w:u w:val="single"/>
        </w:rPr>
        <w:t xml:space="preserve">   </w:t>
      </w:r>
    </w:p>
    <w:p w14:paraId="1A968FEA">
      <w:pPr>
        <w:pStyle w:val="48"/>
        <w:bidi w:val="0"/>
        <w:rPr>
          <w:rFonts w:hint="eastAsia"/>
          <w:lang w:val="en-US" w:eastAsia="zh-CN"/>
        </w:rPr>
      </w:pPr>
      <w:r>
        <w:rPr>
          <w:rFonts w:hint="eastAsia"/>
          <w:lang w:val="en-US" w:eastAsia="zh-CN"/>
        </w:rPr>
        <w:br w:type="page"/>
      </w:r>
    </w:p>
    <w:bookmarkEnd w:id="384"/>
    <w:bookmarkEnd w:id="385"/>
    <w:bookmarkEnd w:id="386"/>
    <w:p w14:paraId="542E4332">
      <w:pPr>
        <w:pStyle w:val="49"/>
        <w:numPr>
          <w:ilvl w:val="0"/>
          <w:numId w:val="15"/>
        </w:numPr>
        <w:bidi w:val="0"/>
        <w:ind w:left="0" w:leftChars="0" w:firstLine="0" w:firstLineChars="0"/>
        <w:rPr>
          <w:rFonts w:hint="eastAsia"/>
          <w:lang w:val="en-US" w:eastAsia="zh-CN"/>
        </w:rPr>
      </w:pPr>
      <w:bookmarkStart w:id="397" w:name="_Toc3835"/>
      <w:bookmarkStart w:id="398" w:name="_Toc6076"/>
      <w:bookmarkStart w:id="399" w:name="_Toc3448"/>
      <w:bookmarkStart w:id="400" w:name="_Toc26522"/>
      <w:bookmarkStart w:id="401" w:name="_Toc23430"/>
      <w:r>
        <w:rPr>
          <w:rFonts w:hint="eastAsia"/>
          <w:lang w:val="en-US" w:eastAsia="zh-CN"/>
        </w:rPr>
        <w:t>供应商针对本项目人员配置情况表</w:t>
      </w:r>
      <w:bookmarkEnd w:id="397"/>
      <w:bookmarkEnd w:id="398"/>
      <w:bookmarkEnd w:id="399"/>
    </w:p>
    <w:p w14:paraId="7E3C8347">
      <w:pPr>
        <w:pStyle w:val="48"/>
        <w:bidi w:val="0"/>
        <w:rPr>
          <w:rFonts w:hint="eastAsia"/>
        </w:rPr>
      </w:pPr>
      <w:r>
        <w:rPr>
          <w:rFonts w:hint="eastAsia"/>
        </w:rPr>
        <w:t>项目名称：</w:t>
      </w:r>
      <w:r>
        <w:rPr>
          <w:rFonts w:hint="eastAsia"/>
          <w:u w:val="single"/>
        </w:rPr>
        <w:t xml:space="preserve">                             </w:t>
      </w:r>
    </w:p>
    <w:p w14:paraId="16771895">
      <w:pPr>
        <w:pStyle w:val="48"/>
        <w:bidi w:val="0"/>
        <w:rPr>
          <w:rFonts w:hint="eastAsia"/>
          <w:color w:val="FF0000"/>
          <w:highlight w:val="none"/>
          <w:u w:val="single"/>
        </w:rPr>
      </w:pPr>
      <w:r>
        <w:rPr>
          <w:rFonts w:hint="eastAsia"/>
        </w:rPr>
        <w:t>项目编号：</w:t>
      </w:r>
      <w:r>
        <w:rPr>
          <w:rFonts w:hint="eastAsia"/>
          <w:u w:val="single"/>
        </w:rPr>
        <w:t xml:space="preserve">                              </w:t>
      </w:r>
      <w:r>
        <w:rPr>
          <w:rFonts w:hint="eastAsia"/>
        </w:rPr>
        <w:t xml:space="preserve"> </w:t>
      </w:r>
      <w:r>
        <w:rPr>
          <w:rFonts w:hint="eastAsia"/>
          <w:lang w:val="en-US" w:eastAsia="zh-CN"/>
        </w:rPr>
        <w:t xml:space="preserve">                            </w:t>
      </w:r>
      <w:r>
        <w:rPr>
          <w:rFonts w:hint="eastAsia"/>
          <w:color w:val="FF0000"/>
          <w:highlight w:val="none"/>
          <w:lang w:val="en-US" w:eastAsia="zh-CN"/>
        </w:rPr>
        <w:t xml:space="preserve"> </w:t>
      </w:r>
    </w:p>
    <w:tbl>
      <w:tblPr>
        <w:tblStyle w:val="25"/>
        <w:tblW w:w="5004" w:type="pct"/>
        <w:jc w:val="center"/>
        <w:tblLayout w:type="autofit"/>
        <w:tblCellMar>
          <w:top w:w="0" w:type="dxa"/>
          <w:left w:w="0" w:type="dxa"/>
          <w:bottom w:w="0" w:type="dxa"/>
          <w:right w:w="0" w:type="dxa"/>
        </w:tblCellMar>
      </w:tblPr>
      <w:tblGrid>
        <w:gridCol w:w="759"/>
        <w:gridCol w:w="1760"/>
        <w:gridCol w:w="1009"/>
        <w:gridCol w:w="1132"/>
        <w:gridCol w:w="1159"/>
        <w:gridCol w:w="1004"/>
        <w:gridCol w:w="1500"/>
      </w:tblGrid>
      <w:tr w14:paraId="212CDDC6">
        <w:tblPrEx>
          <w:tblCellMar>
            <w:top w:w="0" w:type="dxa"/>
            <w:left w:w="0" w:type="dxa"/>
            <w:bottom w:w="0" w:type="dxa"/>
            <w:right w:w="0" w:type="dxa"/>
          </w:tblCellMar>
        </w:tblPrEx>
        <w:trPr>
          <w:trHeight w:val="614" w:hRule="atLeast"/>
          <w:jc w:val="center"/>
        </w:trPr>
        <w:tc>
          <w:tcPr>
            <w:tcW w:w="456" w:type="pct"/>
            <w:vMerge w:val="restart"/>
            <w:tcBorders>
              <w:top w:val="single" w:color="auto" w:sz="4" w:space="0"/>
              <w:left w:val="single" w:color="auto" w:sz="4" w:space="0"/>
              <w:right w:val="single" w:color="auto" w:sz="4" w:space="0"/>
            </w:tcBorders>
            <w:noWrap w:val="0"/>
            <w:vAlign w:val="center"/>
          </w:tcPr>
          <w:p w14:paraId="08034164">
            <w:pPr>
              <w:spacing w:line="360" w:lineRule="auto"/>
              <w:jc w:val="center"/>
              <w:rPr>
                <w:rFonts w:hint="eastAsia" w:ascii="宋体" w:hAnsi="宋体" w:cs="宋体"/>
                <w:sz w:val="24"/>
              </w:rPr>
            </w:pPr>
            <w:r>
              <w:rPr>
                <w:rFonts w:hint="eastAsia" w:ascii="宋体" w:hAnsi="宋体" w:cs="宋体"/>
                <w:sz w:val="24"/>
              </w:rPr>
              <w:t>序号</w:t>
            </w:r>
          </w:p>
        </w:tc>
        <w:tc>
          <w:tcPr>
            <w:tcW w:w="1057" w:type="pct"/>
            <w:vMerge w:val="restart"/>
            <w:tcBorders>
              <w:top w:val="single" w:color="auto" w:sz="4" w:space="0"/>
              <w:left w:val="nil"/>
              <w:right w:val="single" w:color="auto" w:sz="4" w:space="0"/>
            </w:tcBorders>
            <w:noWrap w:val="0"/>
            <w:vAlign w:val="center"/>
          </w:tcPr>
          <w:p w14:paraId="7909D00F">
            <w:pPr>
              <w:spacing w:line="360" w:lineRule="auto"/>
              <w:jc w:val="center"/>
              <w:rPr>
                <w:rFonts w:hint="eastAsia" w:ascii="宋体" w:hAnsi="宋体" w:cs="宋体"/>
                <w:sz w:val="24"/>
              </w:rPr>
            </w:pPr>
            <w:r>
              <w:rPr>
                <w:rFonts w:hint="eastAsia" w:ascii="宋体" w:hAnsi="宋体" w:cs="宋体"/>
                <w:sz w:val="24"/>
              </w:rPr>
              <w:t>职务</w:t>
            </w:r>
          </w:p>
        </w:tc>
        <w:tc>
          <w:tcPr>
            <w:tcW w:w="606" w:type="pct"/>
            <w:vMerge w:val="restart"/>
            <w:tcBorders>
              <w:top w:val="single" w:color="auto" w:sz="4" w:space="0"/>
              <w:left w:val="nil"/>
              <w:right w:val="single" w:color="auto" w:sz="4" w:space="0"/>
            </w:tcBorders>
            <w:noWrap w:val="0"/>
            <w:vAlign w:val="center"/>
          </w:tcPr>
          <w:p w14:paraId="7EBFFB83">
            <w:pPr>
              <w:spacing w:line="360" w:lineRule="auto"/>
              <w:jc w:val="center"/>
              <w:rPr>
                <w:rFonts w:hint="eastAsia" w:ascii="宋体" w:hAnsi="宋体" w:cs="宋体"/>
                <w:sz w:val="24"/>
              </w:rPr>
            </w:pPr>
            <w:r>
              <w:rPr>
                <w:rFonts w:hint="eastAsia" w:ascii="宋体" w:hAnsi="宋体" w:cs="宋体"/>
                <w:sz w:val="24"/>
              </w:rPr>
              <w:t>姓名</w:t>
            </w:r>
          </w:p>
        </w:tc>
        <w:tc>
          <w:tcPr>
            <w:tcW w:w="1376" w:type="pct"/>
            <w:gridSpan w:val="2"/>
            <w:tcBorders>
              <w:top w:val="single" w:color="auto" w:sz="4" w:space="0"/>
              <w:left w:val="nil"/>
              <w:bottom w:val="single" w:color="auto" w:sz="4" w:space="0"/>
              <w:right w:val="single" w:color="auto" w:sz="4" w:space="0"/>
            </w:tcBorders>
            <w:noWrap w:val="0"/>
            <w:vAlign w:val="center"/>
          </w:tcPr>
          <w:p w14:paraId="208A527A">
            <w:pPr>
              <w:spacing w:line="360" w:lineRule="auto"/>
              <w:jc w:val="center"/>
              <w:rPr>
                <w:rFonts w:hint="eastAsia" w:ascii="宋体" w:hAnsi="宋体" w:cs="宋体"/>
                <w:sz w:val="24"/>
              </w:rPr>
            </w:pPr>
            <w:r>
              <w:rPr>
                <w:rFonts w:hint="eastAsia" w:ascii="宋体" w:hAnsi="宋体" w:cs="宋体"/>
                <w:sz w:val="24"/>
              </w:rPr>
              <w:t>执业或职业资格</w:t>
            </w:r>
          </w:p>
        </w:tc>
        <w:tc>
          <w:tcPr>
            <w:tcW w:w="1503" w:type="pct"/>
            <w:gridSpan w:val="2"/>
            <w:tcBorders>
              <w:top w:val="single" w:color="auto" w:sz="4" w:space="0"/>
              <w:left w:val="nil"/>
              <w:bottom w:val="single" w:color="auto" w:sz="4" w:space="0"/>
              <w:right w:val="single" w:color="auto" w:sz="4" w:space="0"/>
            </w:tcBorders>
            <w:noWrap w:val="0"/>
            <w:vAlign w:val="center"/>
          </w:tcPr>
          <w:p w14:paraId="79F6A6B9">
            <w:pPr>
              <w:spacing w:line="360" w:lineRule="auto"/>
              <w:jc w:val="center"/>
              <w:rPr>
                <w:rFonts w:hint="eastAsia" w:ascii="宋体" w:hAnsi="宋体" w:cs="宋体"/>
                <w:sz w:val="24"/>
              </w:rPr>
            </w:pPr>
            <w:r>
              <w:rPr>
                <w:rFonts w:hint="eastAsia" w:ascii="宋体" w:hAnsi="宋体" w:cs="宋体"/>
                <w:sz w:val="24"/>
              </w:rPr>
              <w:t>职称</w:t>
            </w:r>
          </w:p>
        </w:tc>
      </w:tr>
      <w:tr w14:paraId="68305A33">
        <w:tblPrEx>
          <w:tblCellMar>
            <w:top w:w="0" w:type="dxa"/>
            <w:left w:w="0" w:type="dxa"/>
            <w:bottom w:w="0" w:type="dxa"/>
            <w:right w:w="0" w:type="dxa"/>
          </w:tblCellMar>
        </w:tblPrEx>
        <w:trPr>
          <w:trHeight w:val="614" w:hRule="atLeast"/>
          <w:jc w:val="center"/>
        </w:trPr>
        <w:tc>
          <w:tcPr>
            <w:tcW w:w="456" w:type="pct"/>
            <w:vMerge w:val="continue"/>
            <w:tcBorders>
              <w:left w:val="single" w:color="auto" w:sz="4" w:space="0"/>
              <w:bottom w:val="single" w:color="auto" w:sz="4" w:space="0"/>
              <w:right w:val="single" w:color="auto" w:sz="4" w:space="0"/>
            </w:tcBorders>
            <w:noWrap w:val="0"/>
            <w:vAlign w:val="center"/>
          </w:tcPr>
          <w:p w14:paraId="5AE50081">
            <w:pPr>
              <w:spacing w:line="360" w:lineRule="auto"/>
              <w:jc w:val="center"/>
              <w:rPr>
                <w:rFonts w:hint="eastAsia" w:ascii="宋体" w:hAnsi="宋体" w:cs="宋体"/>
                <w:sz w:val="24"/>
              </w:rPr>
            </w:pPr>
          </w:p>
        </w:tc>
        <w:tc>
          <w:tcPr>
            <w:tcW w:w="1057" w:type="pct"/>
            <w:vMerge w:val="continue"/>
            <w:tcBorders>
              <w:left w:val="nil"/>
              <w:bottom w:val="single" w:color="auto" w:sz="4" w:space="0"/>
              <w:right w:val="single" w:color="auto" w:sz="4" w:space="0"/>
            </w:tcBorders>
            <w:noWrap w:val="0"/>
            <w:vAlign w:val="center"/>
          </w:tcPr>
          <w:p w14:paraId="3EF47D51">
            <w:pPr>
              <w:spacing w:line="360" w:lineRule="auto"/>
              <w:jc w:val="center"/>
              <w:rPr>
                <w:rFonts w:hint="eastAsia" w:ascii="宋体" w:hAnsi="宋体" w:cs="宋体"/>
                <w:sz w:val="24"/>
              </w:rPr>
            </w:pPr>
          </w:p>
        </w:tc>
        <w:tc>
          <w:tcPr>
            <w:tcW w:w="606" w:type="pct"/>
            <w:vMerge w:val="continue"/>
            <w:tcBorders>
              <w:left w:val="nil"/>
              <w:bottom w:val="single" w:color="auto" w:sz="4" w:space="0"/>
              <w:right w:val="single" w:color="auto" w:sz="4" w:space="0"/>
            </w:tcBorders>
            <w:noWrap w:val="0"/>
            <w:vAlign w:val="center"/>
          </w:tcPr>
          <w:p w14:paraId="09A50CDC">
            <w:pPr>
              <w:spacing w:line="360" w:lineRule="auto"/>
              <w:jc w:val="center"/>
              <w:rPr>
                <w:rFonts w:hint="eastAsia" w:ascii="宋体" w:hAnsi="宋体" w:cs="宋体"/>
                <w:sz w:val="24"/>
              </w:rPr>
            </w:pPr>
          </w:p>
        </w:tc>
        <w:tc>
          <w:tcPr>
            <w:tcW w:w="680" w:type="pct"/>
            <w:tcBorders>
              <w:top w:val="single" w:color="auto" w:sz="4" w:space="0"/>
              <w:left w:val="nil"/>
              <w:bottom w:val="single" w:color="auto" w:sz="4" w:space="0"/>
              <w:right w:val="single" w:color="auto" w:sz="4" w:space="0"/>
            </w:tcBorders>
            <w:noWrap w:val="0"/>
            <w:vAlign w:val="center"/>
          </w:tcPr>
          <w:p w14:paraId="36F82983">
            <w:pPr>
              <w:spacing w:line="360" w:lineRule="auto"/>
              <w:jc w:val="center"/>
              <w:rPr>
                <w:rFonts w:hint="eastAsia" w:ascii="宋体" w:hAnsi="宋体" w:cs="宋体"/>
                <w:sz w:val="24"/>
              </w:rPr>
            </w:pPr>
            <w:r>
              <w:rPr>
                <w:rFonts w:hint="eastAsia" w:ascii="宋体" w:hAnsi="宋体" w:cs="宋体"/>
                <w:sz w:val="24"/>
              </w:rPr>
              <w:t>证书名称</w:t>
            </w:r>
          </w:p>
        </w:tc>
        <w:tc>
          <w:tcPr>
            <w:tcW w:w="695" w:type="pct"/>
            <w:tcBorders>
              <w:top w:val="single" w:color="auto" w:sz="4" w:space="0"/>
              <w:left w:val="nil"/>
              <w:bottom w:val="single" w:color="auto" w:sz="4" w:space="0"/>
              <w:right w:val="single" w:color="auto" w:sz="4" w:space="0"/>
            </w:tcBorders>
            <w:noWrap w:val="0"/>
            <w:vAlign w:val="center"/>
          </w:tcPr>
          <w:p w14:paraId="3A91F4E3">
            <w:pPr>
              <w:spacing w:line="360" w:lineRule="auto"/>
              <w:jc w:val="center"/>
              <w:rPr>
                <w:rFonts w:hint="eastAsia" w:ascii="宋体" w:hAnsi="宋体" w:cs="宋体"/>
                <w:sz w:val="24"/>
              </w:rPr>
            </w:pPr>
            <w:r>
              <w:rPr>
                <w:rFonts w:hint="eastAsia" w:ascii="宋体" w:hAnsi="宋体" w:cs="宋体"/>
                <w:sz w:val="24"/>
              </w:rPr>
              <w:t>证书编号</w:t>
            </w:r>
          </w:p>
        </w:tc>
        <w:tc>
          <w:tcPr>
            <w:tcW w:w="603" w:type="pct"/>
            <w:tcBorders>
              <w:top w:val="single" w:color="auto" w:sz="4" w:space="0"/>
              <w:left w:val="nil"/>
              <w:bottom w:val="single" w:color="auto" w:sz="4" w:space="0"/>
              <w:right w:val="single" w:color="auto" w:sz="4" w:space="0"/>
            </w:tcBorders>
            <w:noWrap w:val="0"/>
            <w:vAlign w:val="center"/>
          </w:tcPr>
          <w:p w14:paraId="695041A1">
            <w:pPr>
              <w:spacing w:line="360" w:lineRule="auto"/>
              <w:jc w:val="center"/>
              <w:rPr>
                <w:rFonts w:hint="eastAsia" w:ascii="宋体" w:hAnsi="宋体" w:cs="宋体"/>
                <w:sz w:val="24"/>
              </w:rPr>
            </w:pPr>
            <w:r>
              <w:rPr>
                <w:rFonts w:hint="eastAsia" w:ascii="宋体" w:hAnsi="宋体" w:cs="宋体"/>
                <w:sz w:val="24"/>
              </w:rPr>
              <w:t>职称专业</w:t>
            </w:r>
          </w:p>
        </w:tc>
        <w:tc>
          <w:tcPr>
            <w:tcW w:w="900" w:type="pct"/>
            <w:tcBorders>
              <w:top w:val="single" w:color="auto" w:sz="4" w:space="0"/>
              <w:left w:val="nil"/>
              <w:bottom w:val="single" w:color="auto" w:sz="4" w:space="0"/>
              <w:right w:val="single" w:color="auto" w:sz="4" w:space="0"/>
            </w:tcBorders>
            <w:noWrap w:val="0"/>
            <w:vAlign w:val="center"/>
          </w:tcPr>
          <w:p w14:paraId="4DDE75C4">
            <w:pPr>
              <w:spacing w:line="360" w:lineRule="auto"/>
              <w:jc w:val="center"/>
              <w:rPr>
                <w:rFonts w:hint="eastAsia" w:ascii="宋体" w:hAnsi="宋体" w:cs="宋体"/>
                <w:sz w:val="24"/>
              </w:rPr>
            </w:pPr>
            <w:r>
              <w:rPr>
                <w:rFonts w:hint="eastAsia" w:ascii="宋体" w:hAnsi="宋体" w:cs="宋体"/>
                <w:sz w:val="24"/>
              </w:rPr>
              <w:t>级别</w:t>
            </w:r>
          </w:p>
        </w:tc>
      </w:tr>
      <w:tr w14:paraId="5F1AB67D">
        <w:tblPrEx>
          <w:tblCellMar>
            <w:top w:w="0" w:type="dxa"/>
            <w:left w:w="0" w:type="dxa"/>
            <w:bottom w:w="0" w:type="dxa"/>
            <w:right w:w="0" w:type="dxa"/>
          </w:tblCellMar>
        </w:tblPrEx>
        <w:trPr>
          <w:trHeight w:val="589" w:hRule="atLeast"/>
          <w:jc w:val="center"/>
        </w:trPr>
        <w:tc>
          <w:tcPr>
            <w:tcW w:w="456" w:type="pct"/>
            <w:tcBorders>
              <w:top w:val="single" w:color="auto" w:sz="4" w:space="0"/>
              <w:left w:val="single" w:color="auto" w:sz="4" w:space="0"/>
              <w:bottom w:val="single" w:color="auto" w:sz="4" w:space="0"/>
              <w:right w:val="single" w:color="auto" w:sz="4" w:space="0"/>
            </w:tcBorders>
            <w:noWrap w:val="0"/>
            <w:vAlign w:val="center"/>
          </w:tcPr>
          <w:p w14:paraId="3D610578">
            <w:pPr>
              <w:spacing w:line="360" w:lineRule="auto"/>
              <w:jc w:val="center"/>
              <w:rPr>
                <w:rFonts w:hint="eastAsia" w:ascii="宋体" w:hAnsi="宋体" w:cs="宋体"/>
                <w:sz w:val="24"/>
              </w:rPr>
            </w:pPr>
            <w:r>
              <w:rPr>
                <w:rFonts w:hint="eastAsia" w:ascii="宋体" w:hAnsi="宋体" w:cs="宋体"/>
                <w:sz w:val="24"/>
              </w:rPr>
              <w:t>1</w:t>
            </w:r>
          </w:p>
        </w:tc>
        <w:tc>
          <w:tcPr>
            <w:tcW w:w="1057" w:type="pct"/>
            <w:tcBorders>
              <w:top w:val="single" w:color="auto" w:sz="4" w:space="0"/>
              <w:left w:val="nil"/>
              <w:bottom w:val="single" w:color="auto" w:sz="4" w:space="0"/>
              <w:right w:val="single" w:color="auto" w:sz="4" w:space="0"/>
            </w:tcBorders>
            <w:noWrap w:val="0"/>
            <w:vAlign w:val="center"/>
          </w:tcPr>
          <w:p w14:paraId="517DEF3B">
            <w:pPr>
              <w:spacing w:line="360" w:lineRule="auto"/>
              <w:jc w:val="center"/>
              <w:rPr>
                <w:rFonts w:hint="eastAsia" w:ascii="宋体" w:hAnsi="宋体" w:cs="宋体"/>
                <w:sz w:val="24"/>
              </w:rPr>
            </w:pPr>
            <w:r>
              <w:rPr>
                <w:rFonts w:hint="eastAsia" w:ascii="宋体" w:hAnsi="宋体" w:cs="宋体"/>
                <w:sz w:val="24"/>
              </w:rPr>
              <w:t>项目负责人</w:t>
            </w:r>
          </w:p>
        </w:tc>
        <w:tc>
          <w:tcPr>
            <w:tcW w:w="606" w:type="pct"/>
            <w:tcBorders>
              <w:top w:val="single" w:color="auto" w:sz="4" w:space="0"/>
              <w:left w:val="nil"/>
              <w:bottom w:val="single" w:color="auto" w:sz="4" w:space="0"/>
              <w:right w:val="single" w:color="auto" w:sz="4" w:space="0"/>
            </w:tcBorders>
            <w:noWrap w:val="0"/>
            <w:vAlign w:val="center"/>
          </w:tcPr>
          <w:p w14:paraId="389996D7">
            <w:pPr>
              <w:spacing w:line="360" w:lineRule="auto"/>
              <w:jc w:val="center"/>
              <w:rPr>
                <w:rFonts w:hint="eastAsia" w:ascii="宋体" w:hAnsi="宋体" w:cs="宋体"/>
                <w:sz w:val="24"/>
              </w:rPr>
            </w:pPr>
          </w:p>
        </w:tc>
        <w:tc>
          <w:tcPr>
            <w:tcW w:w="680" w:type="pct"/>
            <w:tcBorders>
              <w:top w:val="single" w:color="auto" w:sz="4" w:space="0"/>
              <w:left w:val="nil"/>
              <w:bottom w:val="single" w:color="auto" w:sz="4" w:space="0"/>
              <w:right w:val="single" w:color="auto" w:sz="4" w:space="0"/>
            </w:tcBorders>
            <w:noWrap w:val="0"/>
            <w:vAlign w:val="center"/>
          </w:tcPr>
          <w:p w14:paraId="4CCB0AC8">
            <w:pPr>
              <w:spacing w:line="360" w:lineRule="auto"/>
              <w:jc w:val="center"/>
              <w:rPr>
                <w:rFonts w:hint="eastAsia" w:ascii="宋体" w:hAnsi="宋体" w:cs="宋体"/>
                <w:sz w:val="24"/>
              </w:rPr>
            </w:pPr>
          </w:p>
        </w:tc>
        <w:tc>
          <w:tcPr>
            <w:tcW w:w="695" w:type="pct"/>
            <w:tcBorders>
              <w:top w:val="single" w:color="auto" w:sz="4" w:space="0"/>
              <w:left w:val="nil"/>
              <w:bottom w:val="single" w:color="auto" w:sz="4" w:space="0"/>
              <w:right w:val="single" w:color="auto" w:sz="4" w:space="0"/>
            </w:tcBorders>
            <w:noWrap w:val="0"/>
            <w:vAlign w:val="center"/>
          </w:tcPr>
          <w:p w14:paraId="1D20C793">
            <w:pPr>
              <w:spacing w:line="360" w:lineRule="auto"/>
              <w:jc w:val="center"/>
              <w:rPr>
                <w:rFonts w:hint="eastAsia" w:ascii="宋体" w:hAnsi="宋体" w:cs="宋体"/>
                <w:sz w:val="24"/>
              </w:rPr>
            </w:pPr>
          </w:p>
        </w:tc>
        <w:tc>
          <w:tcPr>
            <w:tcW w:w="603" w:type="pct"/>
            <w:tcBorders>
              <w:top w:val="single" w:color="auto" w:sz="4" w:space="0"/>
              <w:left w:val="nil"/>
              <w:bottom w:val="single" w:color="auto" w:sz="4" w:space="0"/>
              <w:right w:val="single" w:color="auto" w:sz="4" w:space="0"/>
            </w:tcBorders>
            <w:noWrap w:val="0"/>
            <w:vAlign w:val="center"/>
          </w:tcPr>
          <w:p w14:paraId="0211FE02">
            <w:pPr>
              <w:spacing w:line="360" w:lineRule="auto"/>
              <w:jc w:val="center"/>
              <w:rPr>
                <w:rFonts w:hint="eastAsia" w:ascii="宋体" w:hAnsi="宋体" w:cs="宋体"/>
                <w:sz w:val="24"/>
              </w:rPr>
            </w:pPr>
          </w:p>
        </w:tc>
        <w:tc>
          <w:tcPr>
            <w:tcW w:w="900" w:type="pct"/>
            <w:tcBorders>
              <w:top w:val="single" w:color="auto" w:sz="4" w:space="0"/>
              <w:left w:val="nil"/>
              <w:bottom w:val="single" w:color="auto" w:sz="4" w:space="0"/>
              <w:right w:val="single" w:color="auto" w:sz="4" w:space="0"/>
            </w:tcBorders>
            <w:noWrap w:val="0"/>
            <w:vAlign w:val="top"/>
          </w:tcPr>
          <w:p w14:paraId="40095E43">
            <w:pPr>
              <w:spacing w:line="360" w:lineRule="auto"/>
              <w:jc w:val="center"/>
              <w:rPr>
                <w:rFonts w:hint="eastAsia" w:ascii="宋体" w:hAnsi="宋体" w:cs="宋体"/>
                <w:sz w:val="24"/>
              </w:rPr>
            </w:pPr>
          </w:p>
        </w:tc>
      </w:tr>
      <w:tr w14:paraId="0D2970B1">
        <w:tblPrEx>
          <w:tblCellMar>
            <w:top w:w="0" w:type="dxa"/>
            <w:left w:w="0" w:type="dxa"/>
            <w:bottom w:w="0" w:type="dxa"/>
            <w:right w:w="0" w:type="dxa"/>
          </w:tblCellMar>
        </w:tblPrEx>
        <w:trPr>
          <w:trHeight w:val="589" w:hRule="atLeast"/>
          <w:jc w:val="center"/>
        </w:trPr>
        <w:tc>
          <w:tcPr>
            <w:tcW w:w="456" w:type="pct"/>
            <w:tcBorders>
              <w:top w:val="single" w:color="auto" w:sz="4" w:space="0"/>
              <w:left w:val="single" w:color="auto" w:sz="4" w:space="0"/>
              <w:bottom w:val="single" w:color="auto" w:sz="4" w:space="0"/>
              <w:right w:val="single" w:color="auto" w:sz="4" w:space="0"/>
            </w:tcBorders>
            <w:noWrap w:val="0"/>
            <w:vAlign w:val="center"/>
          </w:tcPr>
          <w:p w14:paraId="19667004">
            <w:pPr>
              <w:spacing w:line="360" w:lineRule="auto"/>
              <w:jc w:val="center"/>
              <w:rPr>
                <w:rFonts w:hint="eastAsia" w:ascii="宋体" w:hAnsi="宋体" w:cs="宋体"/>
                <w:sz w:val="24"/>
              </w:rPr>
            </w:pPr>
            <w:r>
              <w:rPr>
                <w:rFonts w:hint="eastAsia" w:ascii="宋体" w:hAnsi="宋体" w:cs="宋体"/>
                <w:sz w:val="24"/>
              </w:rPr>
              <w:t>2</w:t>
            </w:r>
          </w:p>
        </w:tc>
        <w:tc>
          <w:tcPr>
            <w:tcW w:w="1057" w:type="pct"/>
            <w:tcBorders>
              <w:top w:val="single" w:color="auto" w:sz="4" w:space="0"/>
              <w:left w:val="nil"/>
              <w:bottom w:val="single" w:color="auto" w:sz="4" w:space="0"/>
              <w:right w:val="single" w:color="auto" w:sz="4" w:space="0"/>
            </w:tcBorders>
            <w:noWrap w:val="0"/>
            <w:vAlign w:val="center"/>
          </w:tcPr>
          <w:p w14:paraId="111A058F">
            <w:pPr>
              <w:spacing w:line="360" w:lineRule="auto"/>
              <w:jc w:val="center"/>
              <w:rPr>
                <w:rFonts w:hint="eastAsia" w:ascii="宋体" w:hAnsi="宋体" w:cs="宋体"/>
                <w:sz w:val="24"/>
              </w:rPr>
            </w:pPr>
            <w:r>
              <w:rPr>
                <w:rFonts w:hint="eastAsia" w:ascii="宋体" w:hAnsi="宋体" w:cs="宋体"/>
                <w:sz w:val="24"/>
              </w:rPr>
              <w:t>技术负责人</w:t>
            </w:r>
          </w:p>
        </w:tc>
        <w:tc>
          <w:tcPr>
            <w:tcW w:w="606" w:type="pct"/>
            <w:tcBorders>
              <w:top w:val="single" w:color="auto" w:sz="4" w:space="0"/>
              <w:left w:val="nil"/>
              <w:bottom w:val="single" w:color="auto" w:sz="4" w:space="0"/>
              <w:right w:val="single" w:color="auto" w:sz="4" w:space="0"/>
            </w:tcBorders>
            <w:noWrap w:val="0"/>
            <w:vAlign w:val="center"/>
          </w:tcPr>
          <w:p w14:paraId="0D5A7EC8">
            <w:pPr>
              <w:spacing w:line="360" w:lineRule="auto"/>
              <w:jc w:val="center"/>
              <w:rPr>
                <w:rFonts w:hint="eastAsia" w:ascii="宋体" w:hAnsi="宋体" w:cs="宋体"/>
                <w:sz w:val="24"/>
              </w:rPr>
            </w:pPr>
          </w:p>
        </w:tc>
        <w:tc>
          <w:tcPr>
            <w:tcW w:w="680" w:type="pct"/>
            <w:tcBorders>
              <w:top w:val="single" w:color="auto" w:sz="4" w:space="0"/>
              <w:left w:val="nil"/>
              <w:bottom w:val="single" w:color="auto" w:sz="4" w:space="0"/>
              <w:right w:val="single" w:color="auto" w:sz="4" w:space="0"/>
            </w:tcBorders>
            <w:noWrap w:val="0"/>
            <w:vAlign w:val="center"/>
          </w:tcPr>
          <w:p w14:paraId="77F83A2B">
            <w:pPr>
              <w:spacing w:line="360" w:lineRule="auto"/>
              <w:jc w:val="center"/>
              <w:rPr>
                <w:rFonts w:hint="eastAsia" w:ascii="宋体" w:hAnsi="宋体" w:cs="宋体"/>
                <w:sz w:val="24"/>
              </w:rPr>
            </w:pPr>
          </w:p>
        </w:tc>
        <w:tc>
          <w:tcPr>
            <w:tcW w:w="695" w:type="pct"/>
            <w:tcBorders>
              <w:top w:val="single" w:color="auto" w:sz="4" w:space="0"/>
              <w:left w:val="nil"/>
              <w:bottom w:val="single" w:color="auto" w:sz="4" w:space="0"/>
              <w:right w:val="single" w:color="auto" w:sz="4" w:space="0"/>
            </w:tcBorders>
            <w:noWrap w:val="0"/>
            <w:vAlign w:val="center"/>
          </w:tcPr>
          <w:p w14:paraId="54C68862">
            <w:pPr>
              <w:spacing w:line="360" w:lineRule="auto"/>
              <w:jc w:val="center"/>
              <w:rPr>
                <w:rFonts w:hint="eastAsia" w:ascii="宋体" w:hAnsi="宋体" w:cs="宋体"/>
                <w:sz w:val="24"/>
              </w:rPr>
            </w:pPr>
          </w:p>
        </w:tc>
        <w:tc>
          <w:tcPr>
            <w:tcW w:w="603" w:type="pct"/>
            <w:tcBorders>
              <w:top w:val="single" w:color="auto" w:sz="4" w:space="0"/>
              <w:left w:val="nil"/>
              <w:bottom w:val="single" w:color="auto" w:sz="4" w:space="0"/>
              <w:right w:val="single" w:color="auto" w:sz="4" w:space="0"/>
            </w:tcBorders>
            <w:noWrap w:val="0"/>
            <w:vAlign w:val="center"/>
          </w:tcPr>
          <w:p w14:paraId="66448B21">
            <w:pPr>
              <w:spacing w:line="360" w:lineRule="auto"/>
              <w:jc w:val="center"/>
              <w:rPr>
                <w:rFonts w:hint="eastAsia" w:ascii="宋体" w:hAnsi="宋体" w:cs="宋体"/>
                <w:sz w:val="24"/>
              </w:rPr>
            </w:pPr>
          </w:p>
        </w:tc>
        <w:tc>
          <w:tcPr>
            <w:tcW w:w="900" w:type="pct"/>
            <w:tcBorders>
              <w:top w:val="single" w:color="auto" w:sz="4" w:space="0"/>
              <w:left w:val="nil"/>
              <w:bottom w:val="single" w:color="auto" w:sz="4" w:space="0"/>
              <w:right w:val="single" w:color="auto" w:sz="4" w:space="0"/>
            </w:tcBorders>
            <w:noWrap w:val="0"/>
            <w:vAlign w:val="top"/>
          </w:tcPr>
          <w:p w14:paraId="5DAC345C">
            <w:pPr>
              <w:spacing w:line="360" w:lineRule="auto"/>
              <w:jc w:val="center"/>
              <w:rPr>
                <w:rFonts w:hint="eastAsia" w:ascii="宋体" w:hAnsi="宋体" w:cs="宋体"/>
                <w:sz w:val="24"/>
              </w:rPr>
            </w:pPr>
          </w:p>
        </w:tc>
      </w:tr>
      <w:tr w14:paraId="40060C34">
        <w:tblPrEx>
          <w:tblCellMar>
            <w:top w:w="0" w:type="dxa"/>
            <w:left w:w="0" w:type="dxa"/>
            <w:bottom w:w="0" w:type="dxa"/>
            <w:right w:w="0" w:type="dxa"/>
          </w:tblCellMar>
        </w:tblPrEx>
        <w:trPr>
          <w:trHeight w:val="589" w:hRule="atLeast"/>
          <w:jc w:val="center"/>
        </w:trPr>
        <w:tc>
          <w:tcPr>
            <w:tcW w:w="456" w:type="pct"/>
            <w:tcBorders>
              <w:top w:val="single" w:color="auto" w:sz="4" w:space="0"/>
              <w:left w:val="single" w:color="auto" w:sz="4" w:space="0"/>
              <w:bottom w:val="single" w:color="auto" w:sz="4" w:space="0"/>
              <w:right w:val="single" w:color="auto" w:sz="4" w:space="0"/>
            </w:tcBorders>
            <w:noWrap w:val="0"/>
            <w:vAlign w:val="center"/>
          </w:tcPr>
          <w:p w14:paraId="79795E42">
            <w:pPr>
              <w:spacing w:line="360" w:lineRule="auto"/>
              <w:jc w:val="center"/>
              <w:rPr>
                <w:rFonts w:hint="eastAsia" w:ascii="宋体" w:hAnsi="宋体" w:cs="宋体"/>
                <w:sz w:val="24"/>
              </w:rPr>
            </w:pPr>
            <w:r>
              <w:rPr>
                <w:rFonts w:hint="eastAsia" w:ascii="宋体" w:hAnsi="宋体" w:cs="宋体"/>
                <w:sz w:val="24"/>
              </w:rPr>
              <w:t>3</w:t>
            </w:r>
          </w:p>
        </w:tc>
        <w:tc>
          <w:tcPr>
            <w:tcW w:w="1057" w:type="pct"/>
            <w:tcBorders>
              <w:top w:val="single" w:color="auto" w:sz="4" w:space="0"/>
              <w:left w:val="nil"/>
              <w:bottom w:val="single" w:color="auto" w:sz="4" w:space="0"/>
              <w:right w:val="single" w:color="auto" w:sz="4" w:space="0"/>
            </w:tcBorders>
            <w:noWrap w:val="0"/>
            <w:vAlign w:val="center"/>
          </w:tcPr>
          <w:p w14:paraId="296B8DCB">
            <w:pPr>
              <w:spacing w:line="360" w:lineRule="auto"/>
              <w:jc w:val="center"/>
              <w:rPr>
                <w:rFonts w:hint="eastAsia" w:ascii="宋体" w:hAnsi="宋体" w:cs="宋体"/>
                <w:sz w:val="24"/>
              </w:rPr>
            </w:pPr>
            <w:r>
              <w:rPr>
                <w:rFonts w:hint="eastAsia" w:ascii="宋体" w:hAnsi="宋体" w:cs="宋体"/>
                <w:sz w:val="24"/>
              </w:rPr>
              <w:t>土建专业负责人</w:t>
            </w:r>
          </w:p>
        </w:tc>
        <w:tc>
          <w:tcPr>
            <w:tcW w:w="606" w:type="pct"/>
            <w:tcBorders>
              <w:top w:val="single" w:color="auto" w:sz="4" w:space="0"/>
              <w:left w:val="nil"/>
              <w:bottom w:val="single" w:color="auto" w:sz="4" w:space="0"/>
              <w:right w:val="single" w:color="auto" w:sz="4" w:space="0"/>
            </w:tcBorders>
            <w:noWrap w:val="0"/>
            <w:vAlign w:val="center"/>
          </w:tcPr>
          <w:p w14:paraId="05AFB6AB">
            <w:pPr>
              <w:spacing w:line="360" w:lineRule="auto"/>
              <w:jc w:val="center"/>
              <w:rPr>
                <w:rFonts w:hint="eastAsia" w:ascii="宋体" w:hAnsi="宋体" w:cs="宋体"/>
                <w:sz w:val="24"/>
              </w:rPr>
            </w:pPr>
          </w:p>
        </w:tc>
        <w:tc>
          <w:tcPr>
            <w:tcW w:w="680" w:type="pct"/>
            <w:tcBorders>
              <w:top w:val="single" w:color="auto" w:sz="4" w:space="0"/>
              <w:left w:val="nil"/>
              <w:bottom w:val="single" w:color="auto" w:sz="4" w:space="0"/>
              <w:right w:val="single" w:color="auto" w:sz="4" w:space="0"/>
            </w:tcBorders>
            <w:noWrap w:val="0"/>
            <w:vAlign w:val="center"/>
          </w:tcPr>
          <w:p w14:paraId="1BA1F80D">
            <w:pPr>
              <w:spacing w:line="360" w:lineRule="auto"/>
              <w:jc w:val="center"/>
              <w:rPr>
                <w:rFonts w:hint="eastAsia" w:ascii="宋体" w:hAnsi="宋体" w:cs="宋体"/>
                <w:sz w:val="24"/>
              </w:rPr>
            </w:pPr>
          </w:p>
        </w:tc>
        <w:tc>
          <w:tcPr>
            <w:tcW w:w="695" w:type="pct"/>
            <w:tcBorders>
              <w:top w:val="single" w:color="auto" w:sz="4" w:space="0"/>
              <w:left w:val="nil"/>
              <w:bottom w:val="single" w:color="auto" w:sz="4" w:space="0"/>
              <w:right w:val="single" w:color="auto" w:sz="4" w:space="0"/>
            </w:tcBorders>
            <w:noWrap w:val="0"/>
            <w:vAlign w:val="center"/>
          </w:tcPr>
          <w:p w14:paraId="4D17EC42">
            <w:pPr>
              <w:spacing w:line="360" w:lineRule="auto"/>
              <w:jc w:val="center"/>
              <w:rPr>
                <w:rFonts w:hint="eastAsia" w:ascii="宋体" w:hAnsi="宋体" w:cs="宋体"/>
                <w:sz w:val="24"/>
              </w:rPr>
            </w:pPr>
          </w:p>
        </w:tc>
        <w:tc>
          <w:tcPr>
            <w:tcW w:w="603" w:type="pct"/>
            <w:tcBorders>
              <w:top w:val="single" w:color="auto" w:sz="4" w:space="0"/>
              <w:left w:val="nil"/>
              <w:bottom w:val="single" w:color="auto" w:sz="4" w:space="0"/>
              <w:right w:val="single" w:color="auto" w:sz="4" w:space="0"/>
            </w:tcBorders>
            <w:noWrap w:val="0"/>
            <w:vAlign w:val="center"/>
          </w:tcPr>
          <w:p w14:paraId="39ED4F45">
            <w:pPr>
              <w:spacing w:line="360" w:lineRule="auto"/>
              <w:jc w:val="center"/>
              <w:rPr>
                <w:rFonts w:hint="eastAsia" w:ascii="宋体" w:hAnsi="宋体" w:cs="宋体"/>
                <w:sz w:val="24"/>
              </w:rPr>
            </w:pPr>
          </w:p>
        </w:tc>
        <w:tc>
          <w:tcPr>
            <w:tcW w:w="900" w:type="pct"/>
            <w:tcBorders>
              <w:top w:val="single" w:color="auto" w:sz="4" w:space="0"/>
              <w:left w:val="nil"/>
              <w:bottom w:val="single" w:color="auto" w:sz="4" w:space="0"/>
              <w:right w:val="single" w:color="auto" w:sz="4" w:space="0"/>
            </w:tcBorders>
            <w:noWrap w:val="0"/>
            <w:vAlign w:val="top"/>
          </w:tcPr>
          <w:p w14:paraId="4A92A118">
            <w:pPr>
              <w:spacing w:line="360" w:lineRule="auto"/>
              <w:jc w:val="center"/>
              <w:rPr>
                <w:rFonts w:hint="eastAsia" w:ascii="宋体" w:hAnsi="宋体" w:cs="宋体"/>
                <w:sz w:val="24"/>
              </w:rPr>
            </w:pPr>
          </w:p>
        </w:tc>
      </w:tr>
      <w:tr w14:paraId="6E6C623A">
        <w:tblPrEx>
          <w:tblCellMar>
            <w:top w:w="0" w:type="dxa"/>
            <w:left w:w="0" w:type="dxa"/>
            <w:bottom w:w="0" w:type="dxa"/>
            <w:right w:w="0" w:type="dxa"/>
          </w:tblCellMar>
        </w:tblPrEx>
        <w:trPr>
          <w:trHeight w:val="589" w:hRule="atLeast"/>
          <w:jc w:val="center"/>
        </w:trPr>
        <w:tc>
          <w:tcPr>
            <w:tcW w:w="456" w:type="pct"/>
            <w:tcBorders>
              <w:top w:val="single" w:color="auto" w:sz="4" w:space="0"/>
              <w:left w:val="single" w:color="auto" w:sz="4" w:space="0"/>
              <w:bottom w:val="single" w:color="auto" w:sz="4" w:space="0"/>
              <w:right w:val="single" w:color="auto" w:sz="4" w:space="0"/>
            </w:tcBorders>
            <w:noWrap w:val="0"/>
            <w:vAlign w:val="center"/>
          </w:tcPr>
          <w:p w14:paraId="4068076C">
            <w:pPr>
              <w:spacing w:line="360" w:lineRule="auto"/>
              <w:jc w:val="center"/>
              <w:rPr>
                <w:rFonts w:hint="eastAsia" w:ascii="宋体" w:hAnsi="宋体" w:cs="宋体"/>
                <w:sz w:val="24"/>
              </w:rPr>
            </w:pPr>
            <w:r>
              <w:rPr>
                <w:rFonts w:hint="eastAsia" w:ascii="宋体" w:hAnsi="宋体" w:cs="宋体"/>
                <w:sz w:val="24"/>
              </w:rPr>
              <w:t>4</w:t>
            </w:r>
          </w:p>
        </w:tc>
        <w:tc>
          <w:tcPr>
            <w:tcW w:w="1057" w:type="pct"/>
            <w:tcBorders>
              <w:top w:val="single" w:color="auto" w:sz="4" w:space="0"/>
              <w:left w:val="nil"/>
              <w:bottom w:val="single" w:color="auto" w:sz="4" w:space="0"/>
              <w:right w:val="single" w:color="auto" w:sz="4" w:space="0"/>
            </w:tcBorders>
            <w:noWrap w:val="0"/>
            <w:vAlign w:val="center"/>
          </w:tcPr>
          <w:p w14:paraId="2AD92B79">
            <w:pPr>
              <w:spacing w:line="360" w:lineRule="auto"/>
              <w:jc w:val="center"/>
              <w:rPr>
                <w:rFonts w:hint="eastAsia" w:ascii="宋体" w:hAnsi="宋体" w:cs="宋体"/>
                <w:sz w:val="24"/>
              </w:rPr>
            </w:pPr>
            <w:r>
              <w:rPr>
                <w:rFonts w:hint="eastAsia" w:ascii="宋体" w:hAnsi="宋体" w:cs="宋体"/>
                <w:sz w:val="24"/>
              </w:rPr>
              <w:t>安装专业负责人</w:t>
            </w:r>
          </w:p>
        </w:tc>
        <w:tc>
          <w:tcPr>
            <w:tcW w:w="606" w:type="pct"/>
            <w:tcBorders>
              <w:top w:val="single" w:color="auto" w:sz="4" w:space="0"/>
              <w:left w:val="nil"/>
              <w:bottom w:val="single" w:color="auto" w:sz="4" w:space="0"/>
              <w:right w:val="single" w:color="auto" w:sz="4" w:space="0"/>
            </w:tcBorders>
            <w:noWrap w:val="0"/>
            <w:vAlign w:val="center"/>
          </w:tcPr>
          <w:p w14:paraId="1E385F66">
            <w:pPr>
              <w:spacing w:line="360" w:lineRule="auto"/>
              <w:jc w:val="center"/>
              <w:rPr>
                <w:rFonts w:hint="eastAsia" w:ascii="宋体" w:hAnsi="宋体" w:cs="宋体"/>
                <w:sz w:val="24"/>
              </w:rPr>
            </w:pPr>
          </w:p>
        </w:tc>
        <w:tc>
          <w:tcPr>
            <w:tcW w:w="680" w:type="pct"/>
            <w:tcBorders>
              <w:top w:val="single" w:color="auto" w:sz="4" w:space="0"/>
              <w:left w:val="nil"/>
              <w:bottom w:val="single" w:color="auto" w:sz="4" w:space="0"/>
              <w:right w:val="single" w:color="auto" w:sz="4" w:space="0"/>
            </w:tcBorders>
            <w:noWrap w:val="0"/>
            <w:vAlign w:val="center"/>
          </w:tcPr>
          <w:p w14:paraId="145EB290">
            <w:pPr>
              <w:spacing w:line="360" w:lineRule="auto"/>
              <w:jc w:val="center"/>
              <w:rPr>
                <w:rFonts w:hint="eastAsia" w:ascii="宋体" w:hAnsi="宋体" w:cs="宋体"/>
                <w:sz w:val="24"/>
              </w:rPr>
            </w:pPr>
          </w:p>
        </w:tc>
        <w:tc>
          <w:tcPr>
            <w:tcW w:w="695" w:type="pct"/>
            <w:tcBorders>
              <w:top w:val="single" w:color="auto" w:sz="4" w:space="0"/>
              <w:left w:val="nil"/>
              <w:bottom w:val="single" w:color="auto" w:sz="4" w:space="0"/>
              <w:right w:val="single" w:color="auto" w:sz="4" w:space="0"/>
            </w:tcBorders>
            <w:noWrap w:val="0"/>
            <w:vAlign w:val="center"/>
          </w:tcPr>
          <w:p w14:paraId="5DFE925C">
            <w:pPr>
              <w:spacing w:line="360" w:lineRule="auto"/>
              <w:jc w:val="center"/>
              <w:rPr>
                <w:rFonts w:hint="eastAsia" w:ascii="宋体" w:hAnsi="宋体" w:cs="宋体"/>
                <w:sz w:val="24"/>
              </w:rPr>
            </w:pPr>
          </w:p>
        </w:tc>
        <w:tc>
          <w:tcPr>
            <w:tcW w:w="603" w:type="pct"/>
            <w:tcBorders>
              <w:top w:val="single" w:color="auto" w:sz="4" w:space="0"/>
              <w:left w:val="nil"/>
              <w:bottom w:val="single" w:color="auto" w:sz="4" w:space="0"/>
              <w:right w:val="single" w:color="auto" w:sz="4" w:space="0"/>
            </w:tcBorders>
            <w:noWrap w:val="0"/>
            <w:vAlign w:val="center"/>
          </w:tcPr>
          <w:p w14:paraId="676D6E7C">
            <w:pPr>
              <w:spacing w:line="360" w:lineRule="auto"/>
              <w:jc w:val="center"/>
              <w:rPr>
                <w:rFonts w:hint="eastAsia" w:ascii="宋体" w:hAnsi="宋体" w:cs="宋体"/>
                <w:sz w:val="24"/>
              </w:rPr>
            </w:pPr>
          </w:p>
        </w:tc>
        <w:tc>
          <w:tcPr>
            <w:tcW w:w="900" w:type="pct"/>
            <w:tcBorders>
              <w:top w:val="single" w:color="auto" w:sz="4" w:space="0"/>
              <w:left w:val="nil"/>
              <w:bottom w:val="single" w:color="auto" w:sz="4" w:space="0"/>
              <w:right w:val="single" w:color="auto" w:sz="4" w:space="0"/>
            </w:tcBorders>
            <w:noWrap w:val="0"/>
            <w:vAlign w:val="top"/>
          </w:tcPr>
          <w:p w14:paraId="17D874BA">
            <w:pPr>
              <w:spacing w:line="360" w:lineRule="auto"/>
              <w:jc w:val="center"/>
              <w:rPr>
                <w:rFonts w:hint="eastAsia" w:ascii="宋体" w:hAnsi="宋体" w:cs="宋体"/>
                <w:sz w:val="24"/>
              </w:rPr>
            </w:pPr>
          </w:p>
        </w:tc>
      </w:tr>
      <w:tr w14:paraId="03D2A060">
        <w:tblPrEx>
          <w:tblCellMar>
            <w:top w:w="0" w:type="dxa"/>
            <w:left w:w="0" w:type="dxa"/>
            <w:bottom w:w="0" w:type="dxa"/>
            <w:right w:w="0" w:type="dxa"/>
          </w:tblCellMar>
        </w:tblPrEx>
        <w:trPr>
          <w:trHeight w:val="589" w:hRule="atLeast"/>
          <w:jc w:val="center"/>
        </w:trPr>
        <w:tc>
          <w:tcPr>
            <w:tcW w:w="456" w:type="pct"/>
            <w:tcBorders>
              <w:top w:val="single" w:color="auto" w:sz="4" w:space="0"/>
              <w:left w:val="single" w:color="auto" w:sz="4" w:space="0"/>
              <w:bottom w:val="single" w:color="auto" w:sz="4" w:space="0"/>
              <w:right w:val="single" w:color="auto" w:sz="4" w:space="0"/>
            </w:tcBorders>
            <w:noWrap w:val="0"/>
            <w:vAlign w:val="center"/>
          </w:tcPr>
          <w:p w14:paraId="6BBCF3B9">
            <w:pPr>
              <w:spacing w:line="360" w:lineRule="auto"/>
              <w:jc w:val="center"/>
              <w:rPr>
                <w:rFonts w:hint="eastAsia" w:ascii="宋体" w:hAnsi="宋体" w:cs="宋体"/>
                <w:sz w:val="24"/>
              </w:rPr>
            </w:pPr>
            <w:r>
              <w:rPr>
                <w:rFonts w:hint="eastAsia" w:ascii="宋体" w:hAnsi="宋体" w:cs="宋体"/>
                <w:sz w:val="24"/>
              </w:rPr>
              <w:t>5</w:t>
            </w:r>
          </w:p>
        </w:tc>
        <w:tc>
          <w:tcPr>
            <w:tcW w:w="1057" w:type="pct"/>
            <w:tcBorders>
              <w:top w:val="single" w:color="auto" w:sz="4" w:space="0"/>
              <w:left w:val="nil"/>
              <w:bottom w:val="single" w:color="auto" w:sz="4" w:space="0"/>
              <w:right w:val="single" w:color="auto" w:sz="4" w:space="0"/>
            </w:tcBorders>
            <w:noWrap w:val="0"/>
            <w:vAlign w:val="center"/>
          </w:tcPr>
          <w:p w14:paraId="57D690B5">
            <w:pPr>
              <w:spacing w:line="360" w:lineRule="auto"/>
              <w:jc w:val="center"/>
              <w:rPr>
                <w:rFonts w:hint="eastAsia" w:ascii="宋体" w:hAnsi="宋体" w:cs="宋体"/>
                <w:sz w:val="24"/>
              </w:rPr>
            </w:pPr>
            <w:r>
              <w:rPr>
                <w:rFonts w:hint="eastAsia" w:ascii="宋体" w:hAnsi="宋体" w:cs="宋体"/>
                <w:sz w:val="24"/>
              </w:rPr>
              <w:t>XX专业人员</w:t>
            </w:r>
          </w:p>
          <w:p w14:paraId="325F8CFE">
            <w:pPr>
              <w:spacing w:line="360" w:lineRule="auto"/>
              <w:jc w:val="center"/>
              <w:rPr>
                <w:rFonts w:hint="eastAsia" w:ascii="宋体" w:hAnsi="宋体" w:eastAsia="宋体" w:cs="宋体"/>
                <w:sz w:val="24"/>
                <w:lang w:eastAsia="zh-CN"/>
              </w:rPr>
            </w:pPr>
            <w:r>
              <w:rPr>
                <w:rFonts w:hint="eastAsia" w:cs="宋体"/>
                <w:sz w:val="24"/>
                <w:lang w:eastAsia="zh-CN"/>
              </w:rPr>
              <w:t>(</w:t>
            </w:r>
            <w:r>
              <w:rPr>
                <w:rFonts w:hint="eastAsia" w:cs="宋体"/>
                <w:sz w:val="24"/>
                <w:lang w:val="en-US" w:eastAsia="zh-CN"/>
              </w:rPr>
              <w:t>驻场人员</w:t>
            </w:r>
            <w:r>
              <w:rPr>
                <w:rFonts w:hint="eastAsia" w:cs="宋体"/>
                <w:sz w:val="24"/>
                <w:lang w:eastAsia="zh-CN"/>
              </w:rPr>
              <w:t>)</w:t>
            </w:r>
          </w:p>
        </w:tc>
        <w:tc>
          <w:tcPr>
            <w:tcW w:w="606" w:type="pct"/>
            <w:tcBorders>
              <w:top w:val="single" w:color="auto" w:sz="4" w:space="0"/>
              <w:left w:val="nil"/>
              <w:bottom w:val="single" w:color="auto" w:sz="4" w:space="0"/>
              <w:right w:val="single" w:color="auto" w:sz="4" w:space="0"/>
            </w:tcBorders>
            <w:noWrap w:val="0"/>
            <w:vAlign w:val="center"/>
          </w:tcPr>
          <w:p w14:paraId="00992426">
            <w:pPr>
              <w:spacing w:line="360" w:lineRule="auto"/>
              <w:jc w:val="center"/>
              <w:rPr>
                <w:rFonts w:hint="eastAsia" w:ascii="宋体" w:hAnsi="宋体" w:cs="宋体"/>
                <w:sz w:val="24"/>
              </w:rPr>
            </w:pPr>
          </w:p>
        </w:tc>
        <w:tc>
          <w:tcPr>
            <w:tcW w:w="680" w:type="pct"/>
            <w:tcBorders>
              <w:top w:val="single" w:color="auto" w:sz="4" w:space="0"/>
              <w:left w:val="nil"/>
              <w:bottom w:val="single" w:color="auto" w:sz="4" w:space="0"/>
              <w:right w:val="single" w:color="auto" w:sz="4" w:space="0"/>
            </w:tcBorders>
            <w:noWrap w:val="0"/>
            <w:vAlign w:val="center"/>
          </w:tcPr>
          <w:p w14:paraId="1FD7A3D3">
            <w:pPr>
              <w:spacing w:line="360" w:lineRule="auto"/>
              <w:jc w:val="center"/>
              <w:rPr>
                <w:rFonts w:hint="eastAsia" w:ascii="宋体" w:hAnsi="宋体" w:cs="宋体"/>
                <w:sz w:val="24"/>
              </w:rPr>
            </w:pPr>
          </w:p>
        </w:tc>
        <w:tc>
          <w:tcPr>
            <w:tcW w:w="695" w:type="pct"/>
            <w:tcBorders>
              <w:top w:val="single" w:color="auto" w:sz="4" w:space="0"/>
              <w:left w:val="nil"/>
              <w:bottom w:val="single" w:color="auto" w:sz="4" w:space="0"/>
              <w:right w:val="single" w:color="auto" w:sz="4" w:space="0"/>
            </w:tcBorders>
            <w:noWrap w:val="0"/>
            <w:vAlign w:val="center"/>
          </w:tcPr>
          <w:p w14:paraId="12450016">
            <w:pPr>
              <w:spacing w:line="360" w:lineRule="auto"/>
              <w:jc w:val="center"/>
              <w:rPr>
                <w:rFonts w:hint="eastAsia" w:ascii="宋体" w:hAnsi="宋体" w:cs="宋体"/>
                <w:sz w:val="24"/>
              </w:rPr>
            </w:pPr>
          </w:p>
        </w:tc>
        <w:tc>
          <w:tcPr>
            <w:tcW w:w="603" w:type="pct"/>
            <w:tcBorders>
              <w:top w:val="single" w:color="auto" w:sz="4" w:space="0"/>
              <w:left w:val="nil"/>
              <w:bottom w:val="single" w:color="auto" w:sz="4" w:space="0"/>
              <w:right w:val="single" w:color="auto" w:sz="4" w:space="0"/>
            </w:tcBorders>
            <w:noWrap w:val="0"/>
            <w:vAlign w:val="center"/>
          </w:tcPr>
          <w:p w14:paraId="1E10C6DE">
            <w:pPr>
              <w:spacing w:line="360" w:lineRule="auto"/>
              <w:jc w:val="center"/>
              <w:rPr>
                <w:rFonts w:hint="eastAsia" w:ascii="宋体" w:hAnsi="宋体" w:cs="宋体"/>
                <w:sz w:val="24"/>
              </w:rPr>
            </w:pPr>
          </w:p>
        </w:tc>
        <w:tc>
          <w:tcPr>
            <w:tcW w:w="900" w:type="pct"/>
            <w:tcBorders>
              <w:top w:val="single" w:color="auto" w:sz="4" w:space="0"/>
              <w:left w:val="nil"/>
              <w:bottom w:val="single" w:color="auto" w:sz="4" w:space="0"/>
              <w:right w:val="single" w:color="auto" w:sz="4" w:space="0"/>
            </w:tcBorders>
            <w:noWrap w:val="0"/>
            <w:vAlign w:val="top"/>
          </w:tcPr>
          <w:p w14:paraId="66492559">
            <w:pPr>
              <w:spacing w:line="360" w:lineRule="auto"/>
              <w:jc w:val="center"/>
              <w:rPr>
                <w:rFonts w:hint="eastAsia" w:ascii="宋体" w:hAnsi="宋体" w:cs="宋体"/>
                <w:sz w:val="24"/>
              </w:rPr>
            </w:pPr>
          </w:p>
        </w:tc>
      </w:tr>
      <w:tr w14:paraId="3B8871B3">
        <w:tblPrEx>
          <w:tblCellMar>
            <w:top w:w="0" w:type="dxa"/>
            <w:left w:w="0" w:type="dxa"/>
            <w:bottom w:w="0" w:type="dxa"/>
            <w:right w:w="0" w:type="dxa"/>
          </w:tblCellMar>
        </w:tblPrEx>
        <w:trPr>
          <w:trHeight w:val="589" w:hRule="atLeast"/>
          <w:jc w:val="center"/>
        </w:trPr>
        <w:tc>
          <w:tcPr>
            <w:tcW w:w="456" w:type="pct"/>
            <w:tcBorders>
              <w:top w:val="single" w:color="auto" w:sz="4" w:space="0"/>
              <w:left w:val="single" w:color="auto" w:sz="4" w:space="0"/>
              <w:bottom w:val="single" w:color="auto" w:sz="4" w:space="0"/>
              <w:right w:val="single" w:color="auto" w:sz="4" w:space="0"/>
            </w:tcBorders>
            <w:noWrap w:val="0"/>
            <w:vAlign w:val="center"/>
          </w:tcPr>
          <w:p w14:paraId="467941C5">
            <w:pPr>
              <w:spacing w:line="360" w:lineRule="auto"/>
              <w:jc w:val="center"/>
              <w:rPr>
                <w:rFonts w:hint="eastAsia" w:ascii="宋体" w:hAnsi="宋体" w:cs="宋体"/>
                <w:sz w:val="24"/>
              </w:rPr>
            </w:pPr>
            <w:r>
              <w:rPr>
                <w:rFonts w:hint="eastAsia" w:ascii="宋体" w:hAnsi="宋体" w:cs="宋体"/>
                <w:sz w:val="24"/>
              </w:rPr>
              <w:t>6</w:t>
            </w:r>
          </w:p>
        </w:tc>
        <w:tc>
          <w:tcPr>
            <w:tcW w:w="1057" w:type="pct"/>
            <w:tcBorders>
              <w:top w:val="single" w:color="auto" w:sz="4" w:space="0"/>
              <w:left w:val="nil"/>
              <w:bottom w:val="single" w:color="auto" w:sz="4" w:space="0"/>
              <w:right w:val="single" w:color="auto" w:sz="4" w:space="0"/>
            </w:tcBorders>
            <w:noWrap w:val="0"/>
            <w:vAlign w:val="center"/>
          </w:tcPr>
          <w:p w14:paraId="0406E04C">
            <w:pPr>
              <w:spacing w:line="360" w:lineRule="auto"/>
              <w:jc w:val="center"/>
              <w:rPr>
                <w:rFonts w:hint="eastAsia" w:ascii="宋体" w:hAnsi="宋体" w:cs="宋体"/>
                <w:sz w:val="24"/>
              </w:rPr>
            </w:pPr>
            <w:r>
              <w:rPr>
                <w:rFonts w:hint="eastAsia" w:ascii="宋体" w:hAnsi="宋体" w:cs="宋体"/>
                <w:sz w:val="24"/>
              </w:rPr>
              <w:t>XX专业人员</w:t>
            </w:r>
          </w:p>
          <w:p w14:paraId="3D9B285C">
            <w:pPr>
              <w:spacing w:line="360" w:lineRule="auto"/>
              <w:jc w:val="center"/>
              <w:rPr>
                <w:rFonts w:hint="eastAsia" w:ascii="宋体" w:hAnsi="宋体" w:cs="宋体"/>
                <w:sz w:val="24"/>
              </w:rPr>
            </w:pPr>
            <w:r>
              <w:rPr>
                <w:rFonts w:hint="eastAsia" w:cs="宋体"/>
                <w:sz w:val="24"/>
                <w:lang w:eastAsia="zh-CN"/>
              </w:rPr>
              <w:t>(</w:t>
            </w:r>
            <w:r>
              <w:rPr>
                <w:rFonts w:hint="eastAsia" w:cs="宋体"/>
                <w:sz w:val="24"/>
                <w:lang w:val="en-US" w:eastAsia="zh-CN"/>
              </w:rPr>
              <w:t>驻场人员</w:t>
            </w:r>
            <w:r>
              <w:rPr>
                <w:rFonts w:hint="eastAsia" w:cs="宋体"/>
                <w:sz w:val="24"/>
                <w:lang w:eastAsia="zh-CN"/>
              </w:rPr>
              <w:t>)</w:t>
            </w:r>
          </w:p>
        </w:tc>
        <w:tc>
          <w:tcPr>
            <w:tcW w:w="606" w:type="pct"/>
            <w:tcBorders>
              <w:top w:val="single" w:color="auto" w:sz="4" w:space="0"/>
              <w:left w:val="nil"/>
              <w:bottom w:val="single" w:color="auto" w:sz="4" w:space="0"/>
              <w:right w:val="single" w:color="auto" w:sz="4" w:space="0"/>
            </w:tcBorders>
            <w:noWrap w:val="0"/>
            <w:vAlign w:val="center"/>
          </w:tcPr>
          <w:p w14:paraId="7A55894B">
            <w:pPr>
              <w:spacing w:line="360" w:lineRule="auto"/>
              <w:jc w:val="center"/>
              <w:rPr>
                <w:rFonts w:hint="eastAsia" w:ascii="宋体" w:hAnsi="宋体" w:cs="宋体"/>
                <w:sz w:val="24"/>
              </w:rPr>
            </w:pPr>
          </w:p>
        </w:tc>
        <w:tc>
          <w:tcPr>
            <w:tcW w:w="680" w:type="pct"/>
            <w:tcBorders>
              <w:top w:val="single" w:color="auto" w:sz="4" w:space="0"/>
              <w:left w:val="nil"/>
              <w:bottom w:val="single" w:color="auto" w:sz="4" w:space="0"/>
              <w:right w:val="single" w:color="auto" w:sz="4" w:space="0"/>
            </w:tcBorders>
            <w:noWrap w:val="0"/>
            <w:vAlign w:val="center"/>
          </w:tcPr>
          <w:p w14:paraId="7AC89810">
            <w:pPr>
              <w:spacing w:line="360" w:lineRule="auto"/>
              <w:jc w:val="center"/>
              <w:rPr>
                <w:rFonts w:hint="eastAsia" w:ascii="宋体" w:hAnsi="宋体" w:cs="宋体"/>
                <w:sz w:val="24"/>
              </w:rPr>
            </w:pPr>
          </w:p>
        </w:tc>
        <w:tc>
          <w:tcPr>
            <w:tcW w:w="695" w:type="pct"/>
            <w:tcBorders>
              <w:top w:val="single" w:color="auto" w:sz="4" w:space="0"/>
              <w:left w:val="nil"/>
              <w:bottom w:val="single" w:color="auto" w:sz="4" w:space="0"/>
              <w:right w:val="single" w:color="auto" w:sz="4" w:space="0"/>
            </w:tcBorders>
            <w:noWrap w:val="0"/>
            <w:vAlign w:val="center"/>
          </w:tcPr>
          <w:p w14:paraId="29CF64AC">
            <w:pPr>
              <w:spacing w:line="360" w:lineRule="auto"/>
              <w:jc w:val="center"/>
              <w:rPr>
                <w:rFonts w:hint="eastAsia" w:ascii="宋体" w:hAnsi="宋体" w:cs="宋体"/>
                <w:sz w:val="24"/>
              </w:rPr>
            </w:pPr>
          </w:p>
        </w:tc>
        <w:tc>
          <w:tcPr>
            <w:tcW w:w="603" w:type="pct"/>
            <w:tcBorders>
              <w:top w:val="single" w:color="auto" w:sz="4" w:space="0"/>
              <w:left w:val="nil"/>
              <w:bottom w:val="single" w:color="auto" w:sz="4" w:space="0"/>
              <w:right w:val="single" w:color="auto" w:sz="4" w:space="0"/>
            </w:tcBorders>
            <w:noWrap w:val="0"/>
            <w:vAlign w:val="center"/>
          </w:tcPr>
          <w:p w14:paraId="65E2C285">
            <w:pPr>
              <w:spacing w:line="360" w:lineRule="auto"/>
              <w:jc w:val="center"/>
              <w:rPr>
                <w:rFonts w:hint="eastAsia" w:ascii="宋体" w:hAnsi="宋体" w:cs="宋体"/>
                <w:sz w:val="24"/>
              </w:rPr>
            </w:pPr>
          </w:p>
        </w:tc>
        <w:tc>
          <w:tcPr>
            <w:tcW w:w="900" w:type="pct"/>
            <w:tcBorders>
              <w:top w:val="single" w:color="auto" w:sz="4" w:space="0"/>
              <w:left w:val="nil"/>
              <w:bottom w:val="single" w:color="auto" w:sz="4" w:space="0"/>
              <w:right w:val="single" w:color="auto" w:sz="4" w:space="0"/>
            </w:tcBorders>
            <w:noWrap w:val="0"/>
            <w:vAlign w:val="top"/>
          </w:tcPr>
          <w:p w14:paraId="0B8FA7AB">
            <w:pPr>
              <w:spacing w:line="360" w:lineRule="auto"/>
              <w:jc w:val="center"/>
              <w:rPr>
                <w:rFonts w:hint="eastAsia" w:ascii="宋体" w:hAnsi="宋体" w:cs="宋体"/>
                <w:sz w:val="24"/>
              </w:rPr>
            </w:pPr>
          </w:p>
        </w:tc>
      </w:tr>
      <w:tr w14:paraId="165791DA">
        <w:tblPrEx>
          <w:tblCellMar>
            <w:top w:w="0" w:type="dxa"/>
            <w:left w:w="0" w:type="dxa"/>
            <w:bottom w:w="0" w:type="dxa"/>
            <w:right w:w="0" w:type="dxa"/>
          </w:tblCellMar>
        </w:tblPrEx>
        <w:trPr>
          <w:trHeight w:val="589" w:hRule="atLeast"/>
          <w:jc w:val="center"/>
        </w:trPr>
        <w:tc>
          <w:tcPr>
            <w:tcW w:w="456" w:type="pct"/>
            <w:tcBorders>
              <w:top w:val="single" w:color="auto" w:sz="4" w:space="0"/>
              <w:left w:val="single" w:color="auto" w:sz="4" w:space="0"/>
              <w:bottom w:val="single" w:color="auto" w:sz="4" w:space="0"/>
              <w:right w:val="single" w:color="auto" w:sz="4" w:space="0"/>
            </w:tcBorders>
            <w:noWrap w:val="0"/>
            <w:vAlign w:val="center"/>
          </w:tcPr>
          <w:p w14:paraId="3B0AB91C">
            <w:pPr>
              <w:spacing w:line="360" w:lineRule="auto"/>
              <w:jc w:val="center"/>
              <w:rPr>
                <w:rFonts w:hint="eastAsia" w:ascii="宋体" w:hAnsi="宋体" w:cs="宋体"/>
                <w:sz w:val="24"/>
              </w:rPr>
            </w:pPr>
            <w:r>
              <w:rPr>
                <w:rFonts w:hint="eastAsia" w:ascii="宋体" w:hAnsi="宋体" w:cs="宋体"/>
                <w:sz w:val="24"/>
              </w:rPr>
              <w:t>7</w:t>
            </w:r>
          </w:p>
        </w:tc>
        <w:tc>
          <w:tcPr>
            <w:tcW w:w="1057" w:type="pct"/>
            <w:tcBorders>
              <w:top w:val="single" w:color="auto" w:sz="4" w:space="0"/>
              <w:left w:val="nil"/>
              <w:bottom w:val="single" w:color="auto" w:sz="4" w:space="0"/>
              <w:right w:val="single" w:color="auto" w:sz="4" w:space="0"/>
            </w:tcBorders>
            <w:noWrap w:val="0"/>
            <w:vAlign w:val="center"/>
          </w:tcPr>
          <w:p w14:paraId="51B4C56F">
            <w:pPr>
              <w:spacing w:line="360" w:lineRule="auto"/>
              <w:jc w:val="center"/>
              <w:rPr>
                <w:rFonts w:hint="eastAsia" w:ascii="宋体" w:hAnsi="宋体" w:cs="宋体"/>
                <w:sz w:val="24"/>
              </w:rPr>
            </w:pPr>
            <w:r>
              <w:rPr>
                <w:rFonts w:hint="eastAsia" w:ascii="宋体" w:hAnsi="宋体" w:cs="宋体"/>
                <w:sz w:val="24"/>
              </w:rPr>
              <w:t>XX专业人员</w:t>
            </w:r>
          </w:p>
        </w:tc>
        <w:tc>
          <w:tcPr>
            <w:tcW w:w="606" w:type="pct"/>
            <w:tcBorders>
              <w:top w:val="single" w:color="auto" w:sz="4" w:space="0"/>
              <w:left w:val="nil"/>
              <w:bottom w:val="single" w:color="auto" w:sz="4" w:space="0"/>
              <w:right w:val="single" w:color="auto" w:sz="4" w:space="0"/>
            </w:tcBorders>
            <w:noWrap w:val="0"/>
            <w:vAlign w:val="center"/>
          </w:tcPr>
          <w:p w14:paraId="213962A0">
            <w:pPr>
              <w:spacing w:line="360" w:lineRule="auto"/>
              <w:jc w:val="center"/>
              <w:rPr>
                <w:rFonts w:hint="eastAsia" w:ascii="宋体" w:hAnsi="宋体" w:cs="宋体"/>
                <w:sz w:val="24"/>
              </w:rPr>
            </w:pPr>
          </w:p>
        </w:tc>
        <w:tc>
          <w:tcPr>
            <w:tcW w:w="680" w:type="pct"/>
            <w:tcBorders>
              <w:top w:val="single" w:color="auto" w:sz="4" w:space="0"/>
              <w:left w:val="nil"/>
              <w:bottom w:val="single" w:color="auto" w:sz="4" w:space="0"/>
              <w:right w:val="single" w:color="auto" w:sz="4" w:space="0"/>
            </w:tcBorders>
            <w:noWrap w:val="0"/>
            <w:vAlign w:val="center"/>
          </w:tcPr>
          <w:p w14:paraId="12D94777">
            <w:pPr>
              <w:spacing w:line="360" w:lineRule="auto"/>
              <w:jc w:val="center"/>
              <w:rPr>
                <w:rFonts w:hint="eastAsia" w:ascii="宋体" w:hAnsi="宋体" w:cs="宋体"/>
                <w:sz w:val="24"/>
              </w:rPr>
            </w:pPr>
          </w:p>
        </w:tc>
        <w:tc>
          <w:tcPr>
            <w:tcW w:w="695" w:type="pct"/>
            <w:tcBorders>
              <w:top w:val="single" w:color="auto" w:sz="4" w:space="0"/>
              <w:left w:val="nil"/>
              <w:bottom w:val="single" w:color="auto" w:sz="4" w:space="0"/>
              <w:right w:val="single" w:color="auto" w:sz="4" w:space="0"/>
            </w:tcBorders>
            <w:noWrap w:val="0"/>
            <w:vAlign w:val="center"/>
          </w:tcPr>
          <w:p w14:paraId="663C3F46">
            <w:pPr>
              <w:spacing w:line="360" w:lineRule="auto"/>
              <w:jc w:val="center"/>
              <w:rPr>
                <w:rFonts w:hint="eastAsia" w:ascii="宋体" w:hAnsi="宋体" w:cs="宋体"/>
                <w:sz w:val="24"/>
              </w:rPr>
            </w:pPr>
          </w:p>
        </w:tc>
        <w:tc>
          <w:tcPr>
            <w:tcW w:w="603" w:type="pct"/>
            <w:tcBorders>
              <w:top w:val="single" w:color="auto" w:sz="4" w:space="0"/>
              <w:left w:val="nil"/>
              <w:bottom w:val="single" w:color="auto" w:sz="4" w:space="0"/>
              <w:right w:val="single" w:color="auto" w:sz="4" w:space="0"/>
            </w:tcBorders>
            <w:noWrap w:val="0"/>
            <w:vAlign w:val="center"/>
          </w:tcPr>
          <w:p w14:paraId="0EB59713">
            <w:pPr>
              <w:spacing w:line="360" w:lineRule="auto"/>
              <w:jc w:val="center"/>
              <w:rPr>
                <w:rFonts w:hint="eastAsia" w:ascii="宋体" w:hAnsi="宋体" w:cs="宋体"/>
                <w:sz w:val="24"/>
              </w:rPr>
            </w:pPr>
          </w:p>
        </w:tc>
        <w:tc>
          <w:tcPr>
            <w:tcW w:w="900" w:type="pct"/>
            <w:tcBorders>
              <w:top w:val="single" w:color="auto" w:sz="4" w:space="0"/>
              <w:left w:val="nil"/>
              <w:bottom w:val="single" w:color="auto" w:sz="4" w:space="0"/>
              <w:right w:val="single" w:color="auto" w:sz="4" w:space="0"/>
            </w:tcBorders>
            <w:noWrap w:val="0"/>
            <w:vAlign w:val="top"/>
          </w:tcPr>
          <w:p w14:paraId="16898D8C">
            <w:pPr>
              <w:spacing w:line="360" w:lineRule="auto"/>
              <w:jc w:val="center"/>
              <w:rPr>
                <w:rFonts w:hint="eastAsia" w:ascii="宋体" w:hAnsi="宋体" w:cs="宋体"/>
                <w:sz w:val="24"/>
              </w:rPr>
            </w:pPr>
          </w:p>
        </w:tc>
      </w:tr>
      <w:tr w14:paraId="38B57451">
        <w:tblPrEx>
          <w:tblCellMar>
            <w:top w:w="0" w:type="dxa"/>
            <w:left w:w="0" w:type="dxa"/>
            <w:bottom w:w="0" w:type="dxa"/>
            <w:right w:w="0" w:type="dxa"/>
          </w:tblCellMar>
        </w:tblPrEx>
        <w:trPr>
          <w:trHeight w:val="589" w:hRule="atLeast"/>
          <w:jc w:val="center"/>
        </w:trPr>
        <w:tc>
          <w:tcPr>
            <w:tcW w:w="456" w:type="pct"/>
            <w:tcBorders>
              <w:top w:val="single" w:color="auto" w:sz="4" w:space="0"/>
              <w:left w:val="single" w:color="auto" w:sz="4" w:space="0"/>
              <w:bottom w:val="single" w:color="auto" w:sz="4" w:space="0"/>
              <w:right w:val="single" w:color="auto" w:sz="4" w:space="0"/>
            </w:tcBorders>
            <w:noWrap w:val="0"/>
            <w:vAlign w:val="center"/>
          </w:tcPr>
          <w:p w14:paraId="6D77CF8F">
            <w:pPr>
              <w:spacing w:line="360" w:lineRule="auto"/>
              <w:jc w:val="center"/>
              <w:rPr>
                <w:rFonts w:hint="eastAsia" w:ascii="宋体" w:hAnsi="宋体" w:cs="宋体"/>
                <w:sz w:val="24"/>
              </w:rPr>
            </w:pPr>
            <w:r>
              <w:rPr>
                <w:rFonts w:hint="eastAsia" w:ascii="宋体" w:hAnsi="宋体" w:cs="宋体"/>
                <w:sz w:val="24"/>
              </w:rPr>
              <w:t>…</w:t>
            </w:r>
          </w:p>
        </w:tc>
        <w:tc>
          <w:tcPr>
            <w:tcW w:w="1057" w:type="pct"/>
            <w:tcBorders>
              <w:top w:val="single" w:color="auto" w:sz="4" w:space="0"/>
              <w:left w:val="nil"/>
              <w:bottom w:val="single" w:color="auto" w:sz="4" w:space="0"/>
              <w:right w:val="single" w:color="auto" w:sz="4" w:space="0"/>
            </w:tcBorders>
            <w:noWrap w:val="0"/>
            <w:vAlign w:val="center"/>
          </w:tcPr>
          <w:p w14:paraId="4A55681B">
            <w:pPr>
              <w:spacing w:line="360" w:lineRule="auto"/>
              <w:jc w:val="center"/>
              <w:rPr>
                <w:rFonts w:hint="eastAsia" w:ascii="宋体" w:hAnsi="宋体" w:cs="宋体"/>
                <w:sz w:val="24"/>
              </w:rPr>
            </w:pPr>
            <w:r>
              <w:rPr>
                <w:rFonts w:hint="eastAsia" w:ascii="宋体" w:hAnsi="宋体" w:cs="宋体"/>
                <w:sz w:val="24"/>
              </w:rPr>
              <w:t>…</w:t>
            </w:r>
          </w:p>
        </w:tc>
        <w:tc>
          <w:tcPr>
            <w:tcW w:w="606" w:type="pct"/>
            <w:tcBorders>
              <w:top w:val="single" w:color="auto" w:sz="4" w:space="0"/>
              <w:left w:val="nil"/>
              <w:bottom w:val="single" w:color="auto" w:sz="4" w:space="0"/>
              <w:right w:val="single" w:color="auto" w:sz="4" w:space="0"/>
            </w:tcBorders>
            <w:noWrap w:val="0"/>
            <w:vAlign w:val="center"/>
          </w:tcPr>
          <w:p w14:paraId="1E82D369">
            <w:pPr>
              <w:spacing w:line="360" w:lineRule="auto"/>
              <w:jc w:val="center"/>
              <w:rPr>
                <w:rFonts w:hint="eastAsia" w:ascii="宋体" w:hAnsi="宋体" w:cs="宋体"/>
                <w:sz w:val="24"/>
              </w:rPr>
            </w:pPr>
          </w:p>
        </w:tc>
        <w:tc>
          <w:tcPr>
            <w:tcW w:w="680" w:type="pct"/>
            <w:tcBorders>
              <w:top w:val="single" w:color="auto" w:sz="4" w:space="0"/>
              <w:left w:val="nil"/>
              <w:bottom w:val="single" w:color="auto" w:sz="4" w:space="0"/>
              <w:right w:val="single" w:color="auto" w:sz="4" w:space="0"/>
            </w:tcBorders>
            <w:noWrap w:val="0"/>
            <w:vAlign w:val="center"/>
          </w:tcPr>
          <w:p w14:paraId="67864D73">
            <w:pPr>
              <w:spacing w:line="360" w:lineRule="auto"/>
              <w:jc w:val="center"/>
              <w:rPr>
                <w:rFonts w:hint="eastAsia" w:ascii="宋体" w:hAnsi="宋体" w:cs="宋体"/>
                <w:sz w:val="24"/>
              </w:rPr>
            </w:pPr>
          </w:p>
        </w:tc>
        <w:tc>
          <w:tcPr>
            <w:tcW w:w="695" w:type="pct"/>
            <w:tcBorders>
              <w:top w:val="single" w:color="auto" w:sz="4" w:space="0"/>
              <w:left w:val="nil"/>
              <w:bottom w:val="single" w:color="auto" w:sz="4" w:space="0"/>
              <w:right w:val="single" w:color="auto" w:sz="4" w:space="0"/>
            </w:tcBorders>
            <w:noWrap w:val="0"/>
            <w:vAlign w:val="center"/>
          </w:tcPr>
          <w:p w14:paraId="154AE851">
            <w:pPr>
              <w:spacing w:line="360" w:lineRule="auto"/>
              <w:jc w:val="center"/>
              <w:rPr>
                <w:rFonts w:hint="eastAsia" w:ascii="宋体" w:hAnsi="宋体" w:cs="宋体"/>
                <w:sz w:val="24"/>
              </w:rPr>
            </w:pPr>
          </w:p>
        </w:tc>
        <w:tc>
          <w:tcPr>
            <w:tcW w:w="603" w:type="pct"/>
            <w:tcBorders>
              <w:top w:val="single" w:color="auto" w:sz="4" w:space="0"/>
              <w:left w:val="nil"/>
              <w:bottom w:val="single" w:color="auto" w:sz="4" w:space="0"/>
              <w:right w:val="single" w:color="auto" w:sz="4" w:space="0"/>
            </w:tcBorders>
            <w:noWrap w:val="0"/>
            <w:vAlign w:val="center"/>
          </w:tcPr>
          <w:p w14:paraId="35B77175">
            <w:pPr>
              <w:spacing w:line="360" w:lineRule="auto"/>
              <w:jc w:val="center"/>
              <w:rPr>
                <w:rFonts w:hint="eastAsia" w:ascii="宋体" w:hAnsi="宋体" w:cs="宋体"/>
                <w:sz w:val="24"/>
              </w:rPr>
            </w:pPr>
          </w:p>
        </w:tc>
        <w:tc>
          <w:tcPr>
            <w:tcW w:w="900" w:type="pct"/>
            <w:tcBorders>
              <w:top w:val="single" w:color="auto" w:sz="4" w:space="0"/>
              <w:left w:val="nil"/>
              <w:bottom w:val="single" w:color="auto" w:sz="4" w:space="0"/>
              <w:right w:val="single" w:color="auto" w:sz="4" w:space="0"/>
            </w:tcBorders>
            <w:noWrap w:val="0"/>
            <w:vAlign w:val="top"/>
          </w:tcPr>
          <w:p w14:paraId="7DFD5C3C">
            <w:pPr>
              <w:spacing w:line="360" w:lineRule="auto"/>
              <w:jc w:val="center"/>
              <w:rPr>
                <w:rFonts w:hint="eastAsia" w:ascii="宋体" w:hAnsi="宋体" w:cs="宋体"/>
                <w:sz w:val="24"/>
              </w:rPr>
            </w:pPr>
          </w:p>
        </w:tc>
      </w:tr>
    </w:tbl>
    <w:p w14:paraId="0D07062E">
      <w:pPr>
        <w:pStyle w:val="48"/>
        <w:bidi w:val="0"/>
        <w:rPr>
          <w:rFonts w:hint="eastAsia"/>
          <w:b/>
          <w:bCs/>
        </w:rPr>
      </w:pPr>
      <w:r>
        <w:rPr>
          <w:rFonts w:hint="eastAsia"/>
          <w:b/>
          <w:bCs/>
        </w:rPr>
        <w:t>注：</w:t>
      </w:r>
    </w:p>
    <w:p w14:paraId="5C3EC919">
      <w:pPr>
        <w:pStyle w:val="48"/>
        <w:keepNext w:val="0"/>
        <w:keepLines w:val="0"/>
        <w:pageBreakBefore w:val="0"/>
        <w:widowControl w:val="0"/>
        <w:kinsoku/>
        <w:wordWrap w:val="0"/>
        <w:overflowPunct/>
        <w:topLinePunct/>
        <w:autoSpaceDE/>
        <w:autoSpaceDN/>
        <w:bidi w:val="0"/>
        <w:adjustRightInd w:val="0"/>
        <w:snapToGrid w:val="0"/>
        <w:ind w:firstLine="482" w:firstLineChars="200"/>
        <w:textAlignment w:val="auto"/>
        <w:rPr>
          <w:rFonts w:hint="eastAsia"/>
          <w:b/>
          <w:bCs/>
        </w:rPr>
      </w:pPr>
      <w:r>
        <w:rPr>
          <w:rFonts w:hint="eastAsia"/>
          <w:b/>
          <w:bCs/>
        </w:rPr>
        <w:t>1.XX专业人员是指：具体开展XX专业的造价人员，如：建筑、结构、总平、强弱电、给排水、暖通等。若项目负责人、技术负责人、土建专业负责人、安装专业负责人要参加具体专业的工作，还须在XX专业人员中进行填报。</w:t>
      </w:r>
    </w:p>
    <w:p w14:paraId="46F326A7">
      <w:pPr>
        <w:pStyle w:val="48"/>
        <w:keepNext w:val="0"/>
        <w:keepLines w:val="0"/>
        <w:pageBreakBefore w:val="0"/>
        <w:widowControl w:val="0"/>
        <w:kinsoku/>
        <w:wordWrap w:val="0"/>
        <w:overflowPunct/>
        <w:topLinePunct/>
        <w:autoSpaceDE/>
        <w:autoSpaceDN/>
        <w:bidi w:val="0"/>
        <w:adjustRightInd w:val="0"/>
        <w:snapToGrid w:val="0"/>
        <w:ind w:firstLine="482" w:firstLineChars="200"/>
        <w:textAlignment w:val="auto"/>
        <w:rPr>
          <w:rFonts w:hint="eastAsia"/>
        </w:rPr>
      </w:pPr>
      <w:r>
        <w:rPr>
          <w:rFonts w:hint="eastAsia"/>
          <w:b/>
          <w:bCs/>
        </w:rPr>
        <w:t>2.所有人员须附证书复印件。</w:t>
      </w:r>
    </w:p>
    <w:p w14:paraId="2463062F">
      <w:pPr>
        <w:pStyle w:val="48"/>
        <w:bidi w:val="0"/>
        <w:rPr>
          <w:rFonts w:hint="eastAsia"/>
        </w:rPr>
      </w:pPr>
    </w:p>
    <w:p w14:paraId="0AF3AB86">
      <w:pPr>
        <w:pStyle w:val="51"/>
        <w:bidi w:val="0"/>
        <w:ind w:firstLine="0" w:firstLineChars="0"/>
        <w:rPr>
          <w:rFonts w:hint="eastAsia"/>
        </w:rPr>
      </w:pPr>
      <w:r>
        <w:rPr>
          <w:rFonts w:hint="eastAsia"/>
          <w:lang w:val="en-US" w:eastAsia="zh-CN"/>
        </w:rPr>
        <w:t>供应商</w:t>
      </w:r>
      <w:r>
        <w:rPr>
          <w:rFonts w:hint="eastAsia"/>
        </w:rPr>
        <w:t>名称：</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rPr>
        <w:t>(盖章)</w:t>
      </w:r>
    </w:p>
    <w:p w14:paraId="58C3EF16">
      <w:pPr>
        <w:pStyle w:val="51"/>
        <w:bidi w:val="0"/>
        <w:ind w:firstLine="0" w:firstLineChars="0"/>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rPr>
        <w:t>(签字</w:t>
      </w:r>
      <w:r>
        <w:rPr>
          <w:rFonts w:hint="eastAsia"/>
          <w:lang w:eastAsia="zh-CN"/>
        </w:rPr>
        <w:t>或盖章</w:t>
      </w:r>
      <w:r>
        <w:rPr>
          <w:rFonts w:hint="eastAsia"/>
        </w:rPr>
        <w:t>)</w:t>
      </w:r>
    </w:p>
    <w:p w14:paraId="249381FD">
      <w:pPr>
        <w:pStyle w:val="51"/>
        <w:bidi w:val="0"/>
        <w:ind w:firstLine="0" w:firstLineChars="0"/>
        <w:rPr>
          <w:rFonts w:hint="eastAsia" w:asciiTheme="minorEastAsia" w:hAnsiTheme="minorEastAsia" w:eastAsiaTheme="minorEastAsia" w:cstheme="minorEastAsia"/>
          <w:color w:val="auto"/>
          <w:sz w:val="24"/>
          <w:highlight w:val="none"/>
          <w:u w:val="single"/>
          <w:lang w:val="en-US" w:eastAsia="zh-CN"/>
        </w:rPr>
      </w:pPr>
      <w:r>
        <w:rPr>
          <w:rFonts w:hint="eastAsia"/>
          <w:lang w:val="en-US" w:eastAsia="zh-CN"/>
        </w:rPr>
        <w:t>磋商日期：</w:t>
      </w:r>
      <w:r>
        <w:rPr>
          <w:rFonts w:hint="eastAsia" w:asciiTheme="minorEastAsia" w:hAnsiTheme="minorEastAsia" w:eastAsiaTheme="minorEastAsia" w:cstheme="minorEastAsia"/>
          <w:color w:val="auto"/>
          <w:sz w:val="24"/>
          <w:highlight w:val="none"/>
          <w:u w:val="single"/>
          <w:lang w:val="en-US" w:eastAsia="zh-CN"/>
        </w:rPr>
        <w:t xml:space="preserve">           </w:t>
      </w:r>
    </w:p>
    <w:bookmarkEnd w:id="400"/>
    <w:bookmarkEnd w:id="401"/>
    <w:p w14:paraId="7F4A1D9D">
      <w:pPr>
        <w:pStyle w:val="49"/>
        <w:numPr>
          <w:ilvl w:val="0"/>
          <w:numId w:val="15"/>
        </w:numPr>
        <w:bidi w:val="0"/>
        <w:ind w:leftChars="0"/>
        <w:rPr>
          <w:rFonts w:hint="eastAsia" w:ascii="宋体" w:hAnsi="宋体" w:eastAsia="宋体"/>
          <w:lang w:val="en-US" w:eastAsia="zh-CN"/>
        </w:rPr>
      </w:pPr>
      <w:bookmarkStart w:id="402" w:name="_Toc28539"/>
      <w:bookmarkStart w:id="403" w:name="_Toc19712"/>
      <w:bookmarkStart w:id="404" w:name="_Toc18315"/>
      <w:bookmarkStart w:id="405" w:name="_Toc22880"/>
      <w:r>
        <w:rPr>
          <w:rFonts w:hint="eastAsia" w:ascii="宋体" w:hAnsi="宋体" w:eastAsia="宋体"/>
          <w:lang w:val="en-US" w:eastAsia="zh-CN"/>
        </w:rPr>
        <w:t>履约能力及相关证明</w:t>
      </w:r>
      <w:bookmarkEnd w:id="402"/>
      <w:bookmarkEnd w:id="403"/>
      <w:bookmarkEnd w:id="404"/>
      <w:bookmarkEnd w:id="405"/>
    </w:p>
    <w:tbl>
      <w:tblPr>
        <w:tblStyle w:val="25"/>
        <w:tblW w:w="4998"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top w:w="0" w:type="dxa"/>
          <w:left w:w="54" w:type="dxa"/>
          <w:bottom w:w="0" w:type="dxa"/>
          <w:right w:w="54" w:type="dxa"/>
        </w:tblCellMar>
      </w:tblPr>
      <w:tblGrid>
        <w:gridCol w:w="874"/>
        <w:gridCol w:w="1621"/>
        <w:gridCol w:w="1517"/>
        <w:gridCol w:w="1343"/>
        <w:gridCol w:w="1683"/>
        <w:gridCol w:w="1373"/>
      </w:tblGrid>
      <w:tr w14:paraId="2619EE9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519" w:type="pct"/>
            <w:tcBorders>
              <w:top w:val="single" w:color="auto" w:sz="4" w:space="0"/>
            </w:tcBorders>
            <w:noWrap w:val="0"/>
            <w:vAlign w:val="center"/>
          </w:tcPr>
          <w:p w14:paraId="6FB11AA4">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r>
              <w:rPr>
                <w:rFonts w:hint="eastAsia"/>
                <w:sz w:val="24"/>
              </w:rPr>
              <w:t>序号</w:t>
            </w:r>
          </w:p>
        </w:tc>
        <w:tc>
          <w:tcPr>
            <w:tcW w:w="963" w:type="pct"/>
            <w:noWrap w:val="0"/>
            <w:vAlign w:val="center"/>
          </w:tcPr>
          <w:p w14:paraId="621744B8">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bookmarkStart w:id="406" w:name="_Toc491724552"/>
            <w:r>
              <w:rPr>
                <w:rFonts w:hint="eastAsia"/>
                <w:sz w:val="24"/>
              </w:rPr>
              <w:t>委托人名称</w:t>
            </w:r>
            <w:bookmarkEnd w:id="406"/>
          </w:p>
        </w:tc>
        <w:tc>
          <w:tcPr>
            <w:tcW w:w="901" w:type="pct"/>
            <w:noWrap w:val="0"/>
            <w:vAlign w:val="center"/>
          </w:tcPr>
          <w:p w14:paraId="24118D2F">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bookmarkStart w:id="407" w:name="_Toc491724553"/>
            <w:r>
              <w:rPr>
                <w:rFonts w:hint="eastAsia"/>
                <w:sz w:val="24"/>
              </w:rPr>
              <w:t>项目名称</w:t>
            </w:r>
            <w:bookmarkEnd w:id="407"/>
          </w:p>
        </w:tc>
        <w:tc>
          <w:tcPr>
            <w:tcW w:w="798" w:type="pct"/>
            <w:noWrap w:val="0"/>
            <w:vAlign w:val="center"/>
          </w:tcPr>
          <w:p w14:paraId="0646B18E">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bookmarkStart w:id="408" w:name="_Toc491724554"/>
            <w:r>
              <w:rPr>
                <w:rFonts w:hint="eastAsia"/>
                <w:sz w:val="24"/>
              </w:rPr>
              <w:t>完成时间</w:t>
            </w:r>
            <w:bookmarkEnd w:id="408"/>
          </w:p>
        </w:tc>
        <w:tc>
          <w:tcPr>
            <w:tcW w:w="1000" w:type="pct"/>
            <w:noWrap w:val="0"/>
            <w:vAlign w:val="center"/>
          </w:tcPr>
          <w:p w14:paraId="0CF00FB2">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eastAsia="宋体"/>
                <w:sz w:val="24"/>
                <w:lang w:val="en-US" w:eastAsia="zh-CN"/>
              </w:rPr>
            </w:pPr>
            <w:r>
              <w:rPr>
                <w:rFonts w:hint="eastAsia"/>
                <w:sz w:val="24"/>
              </w:rPr>
              <w:t>施工合同金额</w:t>
            </w:r>
            <w:r>
              <w:rPr>
                <w:rFonts w:hint="eastAsia"/>
                <w:sz w:val="24"/>
                <w:lang w:val="en-US" w:eastAsia="zh-CN"/>
              </w:rPr>
              <w:t>(万元)</w:t>
            </w:r>
          </w:p>
        </w:tc>
        <w:tc>
          <w:tcPr>
            <w:tcW w:w="816" w:type="pct"/>
            <w:tcBorders>
              <w:left w:val="single" w:color="auto" w:sz="4" w:space="0"/>
            </w:tcBorders>
            <w:noWrap w:val="0"/>
            <w:vAlign w:val="center"/>
          </w:tcPr>
          <w:p w14:paraId="14B9ECFC">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bookmarkStart w:id="409" w:name="_Toc491724557"/>
            <w:r>
              <w:rPr>
                <w:rFonts w:hint="eastAsia"/>
                <w:sz w:val="24"/>
              </w:rPr>
              <w:t>备注</w:t>
            </w:r>
            <w:bookmarkEnd w:id="409"/>
          </w:p>
        </w:tc>
      </w:tr>
      <w:tr w14:paraId="428A9C5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519" w:type="pct"/>
            <w:noWrap w:val="0"/>
            <w:vAlign w:val="center"/>
          </w:tcPr>
          <w:p w14:paraId="03CA6977">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eastAsia="宋体"/>
                <w:sz w:val="24"/>
                <w:lang w:val="en-US" w:eastAsia="zh-CN"/>
              </w:rPr>
            </w:pPr>
            <w:r>
              <w:rPr>
                <w:rFonts w:hint="eastAsia"/>
                <w:sz w:val="22"/>
                <w:szCs w:val="22"/>
                <w:lang w:val="en-US" w:eastAsia="zh-CN"/>
              </w:rPr>
              <w:t>示例</w:t>
            </w:r>
          </w:p>
        </w:tc>
        <w:tc>
          <w:tcPr>
            <w:tcW w:w="963" w:type="pct"/>
            <w:noWrap w:val="0"/>
            <w:vAlign w:val="center"/>
          </w:tcPr>
          <w:p w14:paraId="217AD771">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eastAsia="宋体"/>
                <w:sz w:val="24"/>
                <w:lang w:val="en-US" w:eastAsia="zh-CN"/>
              </w:rPr>
            </w:pPr>
            <w:r>
              <w:rPr>
                <w:rFonts w:hint="eastAsia"/>
                <w:sz w:val="24"/>
                <w:lang w:val="en-US" w:eastAsia="zh-CN"/>
              </w:rPr>
              <w:t>XXX</w:t>
            </w:r>
          </w:p>
        </w:tc>
        <w:tc>
          <w:tcPr>
            <w:tcW w:w="901" w:type="pct"/>
            <w:noWrap w:val="0"/>
            <w:vAlign w:val="center"/>
          </w:tcPr>
          <w:p w14:paraId="4EE87280">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eastAsia="宋体"/>
                <w:sz w:val="24"/>
                <w:lang w:val="en-US" w:eastAsia="zh-CN"/>
              </w:rPr>
            </w:pPr>
            <w:r>
              <w:rPr>
                <w:rFonts w:hint="eastAsia"/>
                <w:sz w:val="24"/>
                <w:lang w:val="en-US" w:eastAsia="zh-CN"/>
              </w:rPr>
              <w:t>XXX</w:t>
            </w:r>
          </w:p>
        </w:tc>
        <w:tc>
          <w:tcPr>
            <w:tcW w:w="798" w:type="pct"/>
            <w:noWrap w:val="0"/>
            <w:vAlign w:val="center"/>
          </w:tcPr>
          <w:p w14:paraId="31053215">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1000" w:type="pct"/>
            <w:noWrap w:val="0"/>
            <w:vAlign w:val="center"/>
          </w:tcPr>
          <w:p w14:paraId="4A17D859">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816" w:type="pct"/>
            <w:tcBorders>
              <w:left w:val="single" w:color="auto" w:sz="4" w:space="0"/>
            </w:tcBorders>
            <w:noWrap w:val="0"/>
            <w:vAlign w:val="center"/>
          </w:tcPr>
          <w:p w14:paraId="1DAF0D0D">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default" w:eastAsia="宋体"/>
                <w:sz w:val="24"/>
                <w:lang w:val="en-US" w:eastAsia="zh-CN"/>
              </w:rPr>
            </w:pPr>
            <w:r>
              <w:rPr>
                <w:rFonts w:hint="eastAsia"/>
                <w:sz w:val="22"/>
                <w:szCs w:val="22"/>
                <w:lang w:val="en-US" w:eastAsia="zh-CN"/>
              </w:rPr>
              <w:t>项目负责人业绩</w:t>
            </w:r>
          </w:p>
        </w:tc>
      </w:tr>
      <w:tr w14:paraId="2DD3973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519" w:type="pct"/>
            <w:noWrap w:val="0"/>
            <w:vAlign w:val="center"/>
          </w:tcPr>
          <w:p w14:paraId="5BC8AF06">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noWrap w:val="0"/>
            <w:vAlign w:val="center"/>
          </w:tcPr>
          <w:p w14:paraId="69749919">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noWrap w:val="0"/>
            <w:vAlign w:val="center"/>
          </w:tcPr>
          <w:p w14:paraId="1927A086">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noWrap w:val="0"/>
            <w:vAlign w:val="center"/>
          </w:tcPr>
          <w:p w14:paraId="28213B47">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noWrap w:val="0"/>
            <w:vAlign w:val="center"/>
          </w:tcPr>
          <w:p w14:paraId="2EF87BAC">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left w:val="single" w:color="auto" w:sz="4" w:space="0"/>
            </w:tcBorders>
            <w:noWrap w:val="0"/>
            <w:vAlign w:val="center"/>
          </w:tcPr>
          <w:p w14:paraId="52A86885">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662D7B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519" w:type="pct"/>
            <w:noWrap w:val="0"/>
            <w:vAlign w:val="center"/>
          </w:tcPr>
          <w:p w14:paraId="1D3A2725">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noWrap w:val="0"/>
            <w:vAlign w:val="center"/>
          </w:tcPr>
          <w:p w14:paraId="6476FE14">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noWrap w:val="0"/>
            <w:vAlign w:val="center"/>
          </w:tcPr>
          <w:p w14:paraId="21657DA6">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noWrap w:val="0"/>
            <w:vAlign w:val="center"/>
          </w:tcPr>
          <w:p w14:paraId="4E2FA798">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noWrap w:val="0"/>
            <w:vAlign w:val="center"/>
          </w:tcPr>
          <w:p w14:paraId="1BB6650B">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left w:val="single" w:color="auto" w:sz="4" w:space="0"/>
            </w:tcBorders>
            <w:noWrap w:val="0"/>
            <w:vAlign w:val="center"/>
          </w:tcPr>
          <w:p w14:paraId="530BD95F">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5F64006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519" w:type="pct"/>
            <w:noWrap w:val="0"/>
            <w:vAlign w:val="center"/>
          </w:tcPr>
          <w:p w14:paraId="0769526E">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tcBorders>
              <w:right w:val="single" w:color="auto" w:sz="4" w:space="0"/>
            </w:tcBorders>
            <w:noWrap w:val="0"/>
            <w:vAlign w:val="center"/>
          </w:tcPr>
          <w:p w14:paraId="289413FE">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tcBorders>
              <w:left w:val="single" w:color="auto" w:sz="4" w:space="0"/>
            </w:tcBorders>
            <w:noWrap w:val="0"/>
            <w:vAlign w:val="center"/>
          </w:tcPr>
          <w:p w14:paraId="2D92C15B">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noWrap w:val="0"/>
            <w:vAlign w:val="center"/>
          </w:tcPr>
          <w:p w14:paraId="79A6AA49">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noWrap w:val="0"/>
            <w:vAlign w:val="center"/>
          </w:tcPr>
          <w:p w14:paraId="62DF462D">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left w:val="single" w:color="auto" w:sz="4" w:space="0"/>
            </w:tcBorders>
            <w:noWrap w:val="0"/>
            <w:vAlign w:val="center"/>
          </w:tcPr>
          <w:p w14:paraId="23CE807E">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38A20B77">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519" w:type="pct"/>
            <w:tcBorders>
              <w:right w:val="single" w:color="auto" w:sz="4" w:space="0"/>
            </w:tcBorders>
            <w:noWrap w:val="0"/>
            <w:vAlign w:val="center"/>
          </w:tcPr>
          <w:p w14:paraId="0724BAAD">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tcBorders>
              <w:left w:val="single" w:color="auto" w:sz="4" w:space="0"/>
              <w:right w:val="single" w:color="auto" w:sz="4" w:space="0"/>
            </w:tcBorders>
            <w:noWrap w:val="0"/>
            <w:vAlign w:val="center"/>
          </w:tcPr>
          <w:p w14:paraId="150F6E72">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tcBorders>
              <w:left w:val="single" w:color="auto" w:sz="4" w:space="0"/>
              <w:right w:val="single" w:color="auto" w:sz="4" w:space="0"/>
            </w:tcBorders>
            <w:noWrap w:val="0"/>
            <w:vAlign w:val="center"/>
          </w:tcPr>
          <w:p w14:paraId="7AA6F8DC">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tcBorders>
              <w:left w:val="single" w:color="auto" w:sz="4" w:space="0"/>
              <w:right w:val="single" w:color="auto" w:sz="4" w:space="0"/>
            </w:tcBorders>
            <w:noWrap w:val="0"/>
            <w:vAlign w:val="center"/>
          </w:tcPr>
          <w:p w14:paraId="27238E2D">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tcBorders>
              <w:left w:val="single" w:color="auto" w:sz="4" w:space="0"/>
              <w:right w:val="single" w:color="auto" w:sz="4" w:space="0"/>
            </w:tcBorders>
            <w:noWrap w:val="0"/>
            <w:vAlign w:val="center"/>
          </w:tcPr>
          <w:p w14:paraId="5290DC5F">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left w:val="single" w:color="auto" w:sz="4" w:space="0"/>
            </w:tcBorders>
            <w:noWrap w:val="0"/>
            <w:vAlign w:val="center"/>
          </w:tcPr>
          <w:p w14:paraId="558982CF">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003BBF7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519" w:type="pct"/>
            <w:noWrap w:val="0"/>
            <w:vAlign w:val="center"/>
          </w:tcPr>
          <w:p w14:paraId="749F80D4">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noWrap w:val="0"/>
            <w:vAlign w:val="center"/>
          </w:tcPr>
          <w:p w14:paraId="56B5D904">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noWrap w:val="0"/>
            <w:vAlign w:val="center"/>
          </w:tcPr>
          <w:p w14:paraId="1D34EC28">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noWrap w:val="0"/>
            <w:vAlign w:val="center"/>
          </w:tcPr>
          <w:p w14:paraId="03037D86">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tcBorders>
              <w:right w:val="single" w:color="auto" w:sz="4" w:space="0"/>
            </w:tcBorders>
            <w:noWrap w:val="0"/>
            <w:vAlign w:val="center"/>
          </w:tcPr>
          <w:p w14:paraId="2118E170">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left w:val="single" w:color="auto" w:sz="4" w:space="0"/>
            </w:tcBorders>
            <w:noWrap w:val="0"/>
            <w:vAlign w:val="center"/>
          </w:tcPr>
          <w:p w14:paraId="5E160894">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4875CB5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519" w:type="pct"/>
            <w:noWrap w:val="0"/>
            <w:vAlign w:val="center"/>
          </w:tcPr>
          <w:p w14:paraId="1081636B">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noWrap w:val="0"/>
            <w:vAlign w:val="center"/>
          </w:tcPr>
          <w:p w14:paraId="4EEDD943">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noWrap w:val="0"/>
            <w:vAlign w:val="center"/>
          </w:tcPr>
          <w:p w14:paraId="50C4D169">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noWrap w:val="0"/>
            <w:vAlign w:val="center"/>
          </w:tcPr>
          <w:p w14:paraId="00742095">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tcBorders>
              <w:right w:val="single" w:color="auto" w:sz="4" w:space="0"/>
            </w:tcBorders>
            <w:noWrap w:val="0"/>
            <w:vAlign w:val="center"/>
          </w:tcPr>
          <w:p w14:paraId="5DD9D095">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left w:val="single" w:color="auto" w:sz="4" w:space="0"/>
            </w:tcBorders>
            <w:noWrap w:val="0"/>
            <w:vAlign w:val="center"/>
          </w:tcPr>
          <w:p w14:paraId="4A798A3D">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462980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00" w:hRule="atLeast"/>
          <w:jc w:val="center"/>
        </w:trPr>
        <w:tc>
          <w:tcPr>
            <w:tcW w:w="519" w:type="pct"/>
            <w:noWrap w:val="0"/>
            <w:vAlign w:val="center"/>
          </w:tcPr>
          <w:p w14:paraId="5D6AF944">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noWrap w:val="0"/>
            <w:vAlign w:val="center"/>
          </w:tcPr>
          <w:p w14:paraId="268E8687">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noWrap w:val="0"/>
            <w:vAlign w:val="center"/>
          </w:tcPr>
          <w:p w14:paraId="3BAEAF65">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noWrap w:val="0"/>
            <w:vAlign w:val="center"/>
          </w:tcPr>
          <w:p w14:paraId="21D84DEE">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tcBorders>
              <w:right w:val="single" w:color="auto" w:sz="4" w:space="0"/>
            </w:tcBorders>
            <w:noWrap w:val="0"/>
            <w:vAlign w:val="center"/>
          </w:tcPr>
          <w:p w14:paraId="639CEC54">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left w:val="single" w:color="auto" w:sz="4" w:space="0"/>
            </w:tcBorders>
            <w:noWrap w:val="0"/>
            <w:vAlign w:val="center"/>
          </w:tcPr>
          <w:p w14:paraId="46654571">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079F717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510" w:hRule="atLeast"/>
          <w:jc w:val="center"/>
        </w:trPr>
        <w:tc>
          <w:tcPr>
            <w:tcW w:w="519" w:type="pct"/>
            <w:tcBorders>
              <w:bottom w:val="single" w:color="auto" w:sz="4" w:space="0"/>
            </w:tcBorders>
            <w:noWrap w:val="0"/>
            <w:vAlign w:val="center"/>
          </w:tcPr>
          <w:p w14:paraId="243ACD9F">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tcBorders>
              <w:bottom w:val="single" w:color="auto" w:sz="4" w:space="0"/>
            </w:tcBorders>
            <w:noWrap w:val="0"/>
            <w:vAlign w:val="center"/>
          </w:tcPr>
          <w:p w14:paraId="66BF9070">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tcBorders>
              <w:bottom w:val="single" w:color="auto" w:sz="4" w:space="0"/>
            </w:tcBorders>
            <w:noWrap w:val="0"/>
            <w:vAlign w:val="center"/>
          </w:tcPr>
          <w:p w14:paraId="37F52C51">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tcBorders>
              <w:bottom w:val="single" w:color="auto" w:sz="4" w:space="0"/>
            </w:tcBorders>
            <w:noWrap w:val="0"/>
            <w:vAlign w:val="center"/>
          </w:tcPr>
          <w:p w14:paraId="33ADD2C5">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tcBorders>
              <w:bottom w:val="single" w:color="auto" w:sz="4" w:space="0"/>
              <w:right w:val="single" w:color="auto" w:sz="4" w:space="0"/>
            </w:tcBorders>
            <w:noWrap w:val="0"/>
            <w:vAlign w:val="center"/>
          </w:tcPr>
          <w:p w14:paraId="741B9AC9">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left w:val="single" w:color="auto" w:sz="4" w:space="0"/>
              <w:bottom w:val="single" w:color="auto" w:sz="4" w:space="0"/>
            </w:tcBorders>
            <w:noWrap w:val="0"/>
            <w:vAlign w:val="center"/>
          </w:tcPr>
          <w:p w14:paraId="6AC19684">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2532CEB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519" w:type="pct"/>
            <w:tcBorders>
              <w:top w:val="single" w:color="auto" w:sz="4" w:space="0"/>
              <w:bottom w:val="single" w:color="auto" w:sz="4" w:space="0"/>
            </w:tcBorders>
            <w:noWrap w:val="0"/>
            <w:vAlign w:val="center"/>
          </w:tcPr>
          <w:p w14:paraId="57F32213">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tcBorders>
              <w:top w:val="single" w:color="auto" w:sz="4" w:space="0"/>
              <w:bottom w:val="single" w:color="auto" w:sz="4" w:space="0"/>
            </w:tcBorders>
            <w:noWrap w:val="0"/>
            <w:vAlign w:val="center"/>
          </w:tcPr>
          <w:p w14:paraId="26B2161F">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tcBorders>
              <w:top w:val="single" w:color="auto" w:sz="4" w:space="0"/>
              <w:bottom w:val="single" w:color="auto" w:sz="4" w:space="0"/>
            </w:tcBorders>
            <w:noWrap w:val="0"/>
            <w:vAlign w:val="center"/>
          </w:tcPr>
          <w:p w14:paraId="7045E4DD">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tcBorders>
              <w:top w:val="single" w:color="auto" w:sz="4" w:space="0"/>
              <w:bottom w:val="single" w:color="auto" w:sz="4" w:space="0"/>
            </w:tcBorders>
            <w:noWrap w:val="0"/>
            <w:vAlign w:val="center"/>
          </w:tcPr>
          <w:p w14:paraId="5C47E0A4">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tcBorders>
              <w:top w:val="single" w:color="auto" w:sz="4" w:space="0"/>
              <w:bottom w:val="single" w:color="auto" w:sz="4" w:space="0"/>
              <w:right w:val="single" w:color="auto" w:sz="4" w:space="0"/>
            </w:tcBorders>
            <w:noWrap w:val="0"/>
            <w:vAlign w:val="center"/>
          </w:tcPr>
          <w:p w14:paraId="1B5D3BDA">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top w:val="single" w:color="auto" w:sz="4" w:space="0"/>
              <w:left w:val="single" w:color="auto" w:sz="4" w:space="0"/>
              <w:bottom w:val="single" w:color="auto" w:sz="4" w:space="0"/>
            </w:tcBorders>
            <w:noWrap w:val="0"/>
            <w:vAlign w:val="center"/>
          </w:tcPr>
          <w:p w14:paraId="4357DAA6">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6A4475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5" w:hRule="atLeast"/>
          <w:jc w:val="center"/>
        </w:trPr>
        <w:tc>
          <w:tcPr>
            <w:tcW w:w="519" w:type="pct"/>
            <w:tcBorders>
              <w:top w:val="single" w:color="auto" w:sz="4" w:space="0"/>
              <w:bottom w:val="single" w:color="auto" w:sz="4" w:space="0"/>
            </w:tcBorders>
            <w:noWrap w:val="0"/>
            <w:vAlign w:val="center"/>
          </w:tcPr>
          <w:p w14:paraId="3BE49137">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tcBorders>
              <w:top w:val="single" w:color="auto" w:sz="4" w:space="0"/>
              <w:bottom w:val="single" w:color="auto" w:sz="4" w:space="0"/>
            </w:tcBorders>
            <w:noWrap w:val="0"/>
            <w:vAlign w:val="center"/>
          </w:tcPr>
          <w:p w14:paraId="22C6F42A">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tcBorders>
              <w:top w:val="single" w:color="auto" w:sz="4" w:space="0"/>
              <w:bottom w:val="single" w:color="auto" w:sz="4" w:space="0"/>
            </w:tcBorders>
            <w:noWrap w:val="0"/>
            <w:vAlign w:val="center"/>
          </w:tcPr>
          <w:p w14:paraId="0681C587">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tcBorders>
              <w:top w:val="single" w:color="auto" w:sz="4" w:space="0"/>
              <w:bottom w:val="single" w:color="auto" w:sz="4" w:space="0"/>
            </w:tcBorders>
            <w:noWrap w:val="0"/>
            <w:vAlign w:val="center"/>
          </w:tcPr>
          <w:p w14:paraId="7A8079DA">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tcBorders>
              <w:top w:val="single" w:color="auto" w:sz="4" w:space="0"/>
              <w:bottom w:val="single" w:color="auto" w:sz="4" w:space="0"/>
              <w:right w:val="single" w:color="auto" w:sz="4" w:space="0"/>
            </w:tcBorders>
            <w:noWrap w:val="0"/>
            <w:vAlign w:val="center"/>
          </w:tcPr>
          <w:p w14:paraId="09B5240D">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top w:val="single" w:color="auto" w:sz="4" w:space="0"/>
              <w:left w:val="single" w:color="auto" w:sz="4" w:space="0"/>
              <w:bottom w:val="single" w:color="auto" w:sz="4" w:space="0"/>
            </w:tcBorders>
            <w:noWrap w:val="0"/>
            <w:vAlign w:val="center"/>
          </w:tcPr>
          <w:p w14:paraId="2FDFD3E2">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157D195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50" w:hRule="atLeast"/>
          <w:jc w:val="center"/>
        </w:trPr>
        <w:tc>
          <w:tcPr>
            <w:tcW w:w="519" w:type="pct"/>
            <w:tcBorders>
              <w:top w:val="single" w:color="auto" w:sz="4" w:space="0"/>
              <w:bottom w:val="single" w:color="auto" w:sz="4" w:space="0"/>
            </w:tcBorders>
            <w:noWrap w:val="0"/>
            <w:vAlign w:val="center"/>
          </w:tcPr>
          <w:p w14:paraId="3AD2A2F2">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tcBorders>
              <w:top w:val="single" w:color="auto" w:sz="4" w:space="0"/>
              <w:bottom w:val="single" w:color="auto" w:sz="4" w:space="0"/>
            </w:tcBorders>
            <w:noWrap w:val="0"/>
            <w:vAlign w:val="center"/>
          </w:tcPr>
          <w:p w14:paraId="2F8FEDA5">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tcBorders>
              <w:top w:val="single" w:color="auto" w:sz="4" w:space="0"/>
              <w:bottom w:val="single" w:color="auto" w:sz="4" w:space="0"/>
            </w:tcBorders>
            <w:noWrap w:val="0"/>
            <w:vAlign w:val="center"/>
          </w:tcPr>
          <w:p w14:paraId="3E5952B2">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tcBorders>
              <w:top w:val="single" w:color="auto" w:sz="4" w:space="0"/>
              <w:bottom w:val="single" w:color="auto" w:sz="4" w:space="0"/>
            </w:tcBorders>
            <w:noWrap w:val="0"/>
            <w:vAlign w:val="center"/>
          </w:tcPr>
          <w:p w14:paraId="07F4317B">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tcBorders>
              <w:top w:val="single" w:color="auto" w:sz="4" w:space="0"/>
              <w:bottom w:val="single" w:color="auto" w:sz="4" w:space="0"/>
              <w:right w:val="single" w:color="auto" w:sz="4" w:space="0"/>
            </w:tcBorders>
            <w:noWrap w:val="0"/>
            <w:vAlign w:val="center"/>
          </w:tcPr>
          <w:p w14:paraId="7CEEDF84">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top w:val="single" w:color="auto" w:sz="4" w:space="0"/>
              <w:left w:val="single" w:color="auto" w:sz="4" w:space="0"/>
              <w:bottom w:val="single" w:color="auto" w:sz="4" w:space="0"/>
            </w:tcBorders>
            <w:noWrap w:val="0"/>
            <w:vAlign w:val="center"/>
          </w:tcPr>
          <w:p w14:paraId="06916EB1">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r w14:paraId="5DA4851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435" w:hRule="atLeast"/>
          <w:jc w:val="center"/>
        </w:trPr>
        <w:tc>
          <w:tcPr>
            <w:tcW w:w="519" w:type="pct"/>
            <w:tcBorders>
              <w:top w:val="single" w:color="auto" w:sz="4" w:space="0"/>
            </w:tcBorders>
            <w:noWrap w:val="0"/>
            <w:vAlign w:val="center"/>
          </w:tcPr>
          <w:p w14:paraId="4A24583E">
            <w:pPr>
              <w:keepNext w:val="0"/>
              <w:keepLines w:val="0"/>
              <w:pageBreakBefore w:val="0"/>
              <w:widowControl w:val="0"/>
              <w:kinsoku/>
              <w:wordWrap/>
              <w:overflowPunct/>
              <w:topLinePunct w:val="0"/>
              <w:autoSpaceDE/>
              <w:autoSpaceDN/>
              <w:bidi w:val="0"/>
              <w:adjustRightInd w:val="0"/>
              <w:snapToGrid w:val="0"/>
              <w:spacing w:line="240" w:lineRule="atLeast"/>
              <w:jc w:val="center"/>
              <w:textAlignment w:val="auto"/>
              <w:rPr>
                <w:rFonts w:hint="eastAsia"/>
                <w:sz w:val="24"/>
              </w:rPr>
            </w:pPr>
          </w:p>
        </w:tc>
        <w:tc>
          <w:tcPr>
            <w:tcW w:w="963" w:type="pct"/>
            <w:tcBorders>
              <w:top w:val="single" w:color="auto" w:sz="4" w:space="0"/>
            </w:tcBorders>
            <w:noWrap w:val="0"/>
            <w:vAlign w:val="center"/>
          </w:tcPr>
          <w:p w14:paraId="49144EF7">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901" w:type="pct"/>
            <w:tcBorders>
              <w:top w:val="single" w:color="auto" w:sz="4" w:space="0"/>
            </w:tcBorders>
            <w:noWrap w:val="0"/>
            <w:vAlign w:val="center"/>
          </w:tcPr>
          <w:p w14:paraId="4A3F6898">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798" w:type="pct"/>
            <w:tcBorders>
              <w:top w:val="single" w:color="auto" w:sz="4" w:space="0"/>
            </w:tcBorders>
            <w:noWrap w:val="0"/>
            <w:vAlign w:val="center"/>
          </w:tcPr>
          <w:p w14:paraId="7258219E">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1000" w:type="pct"/>
            <w:tcBorders>
              <w:top w:val="single" w:color="auto" w:sz="4" w:space="0"/>
              <w:right w:val="single" w:color="auto" w:sz="4" w:space="0"/>
            </w:tcBorders>
            <w:noWrap w:val="0"/>
            <w:vAlign w:val="center"/>
          </w:tcPr>
          <w:p w14:paraId="45712B54">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c>
          <w:tcPr>
            <w:tcW w:w="816" w:type="pct"/>
            <w:tcBorders>
              <w:top w:val="single" w:color="auto" w:sz="4" w:space="0"/>
              <w:left w:val="single" w:color="auto" w:sz="4" w:space="0"/>
            </w:tcBorders>
            <w:noWrap w:val="0"/>
            <w:vAlign w:val="center"/>
          </w:tcPr>
          <w:p w14:paraId="063D1D60">
            <w:pPr>
              <w:keepNext w:val="0"/>
              <w:keepLines w:val="0"/>
              <w:pageBreakBefore w:val="0"/>
              <w:widowControl w:val="0"/>
              <w:kinsoku/>
              <w:wordWrap/>
              <w:overflowPunct/>
              <w:topLinePunct w:val="0"/>
              <w:autoSpaceDE/>
              <w:autoSpaceDN/>
              <w:bidi w:val="0"/>
              <w:adjustRightInd w:val="0"/>
              <w:snapToGrid w:val="0"/>
              <w:spacing w:line="240" w:lineRule="atLeast"/>
              <w:textAlignment w:val="auto"/>
              <w:rPr>
                <w:rFonts w:hint="eastAsia"/>
                <w:sz w:val="24"/>
              </w:rPr>
            </w:pPr>
          </w:p>
        </w:tc>
      </w:tr>
    </w:tbl>
    <w:p w14:paraId="3E22D4E1">
      <w:pPr>
        <w:pStyle w:val="48"/>
        <w:bidi w:val="0"/>
        <w:rPr>
          <w:rFonts w:hint="eastAsia"/>
          <w:b/>
          <w:bCs/>
        </w:rPr>
      </w:pPr>
      <w:r>
        <w:rPr>
          <w:rFonts w:hint="eastAsia"/>
          <w:b/>
          <w:bCs/>
        </w:rPr>
        <w:t>注：1.供应商可根据实际情况调整该表格内容；</w:t>
      </w:r>
    </w:p>
    <w:p w14:paraId="416E7B8C">
      <w:pPr>
        <w:pStyle w:val="48"/>
        <w:bidi w:val="0"/>
        <w:ind w:firstLine="482" w:firstLineChars="200"/>
        <w:rPr>
          <w:rFonts w:hint="eastAsia" w:eastAsia="宋体"/>
          <w:lang w:eastAsia="zh-CN"/>
        </w:rPr>
      </w:pPr>
      <w:r>
        <w:rPr>
          <w:rFonts w:hint="eastAsia"/>
          <w:b/>
          <w:bCs/>
        </w:rPr>
        <w:t>2.以上业绩应按磋商文件评审要求提供相应证明材料</w:t>
      </w:r>
      <w:r>
        <w:rPr>
          <w:rFonts w:hint="eastAsia"/>
          <w:b/>
          <w:bCs/>
          <w:lang w:eastAsia="zh-CN"/>
        </w:rPr>
        <w:t>。</w:t>
      </w:r>
    </w:p>
    <w:p w14:paraId="1024EB10">
      <w:pPr>
        <w:pStyle w:val="48"/>
        <w:bidi w:val="0"/>
        <w:ind w:firstLine="480" w:firstLineChars="200"/>
        <w:rPr>
          <w:rFonts w:hint="eastAsia"/>
        </w:rPr>
      </w:pPr>
    </w:p>
    <w:p w14:paraId="01DB6E6E">
      <w:pPr>
        <w:pStyle w:val="48"/>
        <w:bidi w:val="0"/>
        <w:ind w:firstLine="480" w:firstLineChars="200"/>
        <w:rPr>
          <w:rFonts w:hint="eastAsia"/>
        </w:rPr>
      </w:pPr>
    </w:p>
    <w:p w14:paraId="101117EB">
      <w:pPr>
        <w:pStyle w:val="51"/>
        <w:keepNext w:val="0"/>
        <w:keepLines w:val="0"/>
        <w:pageBreakBefore w:val="0"/>
        <w:widowControl w:val="0"/>
        <w:kinsoku/>
        <w:wordWrap w:val="0"/>
        <w:overflowPunct/>
        <w:topLinePunct/>
        <w:autoSpaceDE/>
        <w:autoSpaceDN/>
        <w:bidi w:val="0"/>
        <w:adjustRightInd/>
        <w:snapToGrid/>
        <w:ind w:firstLine="480" w:firstLineChars="200"/>
        <w:textAlignment w:val="auto"/>
        <w:rPr>
          <w:rFonts w:hint="eastAsia"/>
        </w:rPr>
      </w:pPr>
      <w:r>
        <w:rPr>
          <w:rFonts w:hint="eastAsia"/>
          <w:lang w:val="en-US" w:eastAsia="zh-CN"/>
        </w:rPr>
        <w:t>供应商</w:t>
      </w:r>
      <w:r>
        <w:rPr>
          <w:rFonts w:hint="eastAsia"/>
        </w:rPr>
        <w:t>名称：</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rPr>
        <w:t>(盖章)</w:t>
      </w:r>
    </w:p>
    <w:p w14:paraId="47CE6AA4">
      <w:pPr>
        <w:pStyle w:val="51"/>
        <w:keepNext w:val="0"/>
        <w:keepLines w:val="0"/>
        <w:pageBreakBefore w:val="0"/>
        <w:widowControl w:val="0"/>
        <w:kinsoku/>
        <w:wordWrap w:val="0"/>
        <w:overflowPunct/>
        <w:topLinePunct/>
        <w:autoSpaceDE/>
        <w:autoSpaceDN/>
        <w:bidi w:val="0"/>
        <w:adjustRightInd/>
        <w:snapToGrid/>
        <w:ind w:firstLine="480" w:firstLineChars="200"/>
        <w:textAlignment w:val="auto"/>
        <w:rPr>
          <w:rFonts w:hint="eastAsia"/>
        </w:rPr>
      </w:pPr>
      <w:r>
        <w:rPr>
          <w:rFonts w:hint="eastAsia"/>
          <w:lang w:eastAsia="zh-CN"/>
        </w:rPr>
        <w:t>法定代表人/单位负责人或授权代表</w:t>
      </w:r>
      <w:r>
        <w:rPr>
          <w:rFonts w:hint="eastAsia"/>
        </w:rPr>
        <w:t>：</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rPr>
        <w:t>(签字</w:t>
      </w:r>
      <w:r>
        <w:rPr>
          <w:rFonts w:hint="eastAsia"/>
          <w:lang w:eastAsia="zh-CN"/>
        </w:rPr>
        <w:t>或盖章</w:t>
      </w:r>
      <w:r>
        <w:rPr>
          <w:rFonts w:hint="eastAsia"/>
        </w:rPr>
        <w:t>)</w:t>
      </w:r>
    </w:p>
    <w:p w14:paraId="6C32ECC8">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val="en-US" w:eastAsia="zh-CN"/>
        </w:rPr>
        <w:t>磋商日期：</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lang w:val="en-US" w:eastAsia="zh-CN"/>
        </w:rPr>
        <w:t xml:space="preserve">           </w:t>
      </w:r>
    </w:p>
    <w:p w14:paraId="7CFAC60E">
      <w:pPr>
        <w:pStyle w:val="48"/>
        <w:bidi w:val="0"/>
        <w:rPr>
          <w:rFonts w:hint="eastAsia"/>
        </w:rPr>
      </w:pPr>
    </w:p>
    <w:p w14:paraId="3969E8BC">
      <w:pPr>
        <w:pStyle w:val="48"/>
        <w:bidi w:val="0"/>
        <w:rPr>
          <w:rFonts w:hint="eastAsia"/>
        </w:rPr>
      </w:pPr>
    </w:p>
    <w:bookmarkEnd w:id="387"/>
    <w:p w14:paraId="140E7180">
      <w:pPr>
        <w:pStyle w:val="48"/>
        <w:bidi w:val="0"/>
        <w:rPr>
          <w:rFonts w:hint="eastAsia"/>
          <w:lang w:val="en-US" w:eastAsia="zh-CN"/>
        </w:rPr>
      </w:pPr>
      <w:bookmarkStart w:id="410" w:name="_Toc19240"/>
      <w:r>
        <w:rPr>
          <w:rFonts w:hint="eastAsia"/>
          <w:lang w:val="en-US" w:eastAsia="zh-CN"/>
        </w:rPr>
        <w:br w:type="page"/>
      </w:r>
      <w:bookmarkEnd w:id="410"/>
    </w:p>
    <w:p w14:paraId="605D06BC">
      <w:pPr>
        <w:pStyle w:val="49"/>
        <w:numPr>
          <w:ilvl w:val="0"/>
          <w:numId w:val="15"/>
        </w:numPr>
        <w:bidi w:val="0"/>
        <w:ind w:leftChars="0"/>
        <w:rPr>
          <w:rFonts w:hint="eastAsia" w:ascii="宋体" w:hAnsi="宋体" w:eastAsia="宋体"/>
          <w:lang w:val="en-US" w:eastAsia="zh-CN"/>
        </w:rPr>
      </w:pPr>
      <w:bookmarkStart w:id="411" w:name="_Toc1164"/>
      <w:bookmarkStart w:id="412" w:name="_Toc18724"/>
      <w:bookmarkStart w:id="413" w:name="_Toc881"/>
      <w:r>
        <w:rPr>
          <w:rFonts w:hint="eastAsia"/>
          <w:lang w:val="en-US" w:eastAsia="zh-CN"/>
        </w:rPr>
        <w:t>实施方案</w:t>
      </w:r>
      <w:bookmarkEnd w:id="411"/>
    </w:p>
    <w:p w14:paraId="528519E9">
      <w:pPr>
        <w:pStyle w:val="53"/>
        <w:bidi w:val="0"/>
        <w:rPr>
          <w:rFonts w:hint="eastAsia"/>
          <w:lang w:val="en-US" w:eastAsia="zh-CN"/>
        </w:rPr>
      </w:pPr>
      <w:r>
        <w:rPr>
          <w:rFonts w:hint="eastAsia"/>
          <w:lang w:val="en-US" w:eastAsia="zh-CN"/>
        </w:rPr>
        <w:t>注：供应商根据本项目要求提供实施方案，格式自拟。</w:t>
      </w:r>
    </w:p>
    <w:p w14:paraId="37D397EA">
      <w:pPr>
        <w:pStyle w:val="48"/>
        <w:bidi w:val="0"/>
        <w:rPr>
          <w:rFonts w:hint="eastAsia"/>
          <w:lang w:val="en-US" w:eastAsia="zh-CN"/>
        </w:rPr>
      </w:pPr>
      <w:r>
        <w:rPr>
          <w:rFonts w:hint="eastAsia"/>
          <w:lang w:val="en-US" w:eastAsia="zh-CN"/>
        </w:rPr>
        <w:br w:type="page"/>
      </w:r>
    </w:p>
    <w:p w14:paraId="6BAA65F2">
      <w:pPr>
        <w:pStyle w:val="49"/>
        <w:keepNext w:val="0"/>
        <w:keepLines w:val="0"/>
        <w:widowControl w:val="0"/>
        <w:numPr>
          <w:ilvl w:val="0"/>
          <w:numId w:val="15"/>
        </w:numPr>
        <w:kinsoku/>
        <w:overflowPunct/>
        <w:autoSpaceDE/>
        <w:autoSpaceDN/>
        <w:bidi w:val="0"/>
        <w:spacing w:line="520" w:lineRule="exact"/>
        <w:ind w:leftChars="0"/>
        <w:textAlignment w:val="auto"/>
        <w:rPr>
          <w:rFonts w:hint="eastAsia" w:ascii="宋体" w:hAnsi="宋体" w:eastAsia="宋体"/>
        </w:rPr>
      </w:pPr>
      <w:bookmarkStart w:id="414" w:name="_Toc4709"/>
      <w:bookmarkStart w:id="415" w:name="_Toc3052"/>
      <w:bookmarkStart w:id="416" w:name="_Toc32188"/>
      <w:bookmarkStart w:id="417" w:name="_Toc12974"/>
      <w:r>
        <w:rPr>
          <w:rFonts w:hint="eastAsia" w:ascii="宋体" w:hAnsi="宋体" w:eastAsia="宋体"/>
          <w:lang w:val="en-US" w:eastAsia="zh-CN"/>
        </w:rPr>
        <w:t>招标代理服务费承诺函</w:t>
      </w:r>
      <w:bookmarkEnd w:id="414"/>
      <w:bookmarkEnd w:id="415"/>
      <w:bookmarkEnd w:id="416"/>
      <w:bookmarkEnd w:id="417"/>
    </w:p>
    <w:p w14:paraId="14F46D1C">
      <w:pPr>
        <w:pStyle w:val="48"/>
        <w:keepNext w:val="0"/>
        <w:keepLines w:val="0"/>
        <w:widowControl w:val="0"/>
        <w:kinsoku/>
        <w:overflowPunct/>
        <w:autoSpaceDE/>
        <w:autoSpaceDN/>
        <w:bidi w:val="0"/>
        <w:spacing w:line="520" w:lineRule="exact"/>
        <w:textAlignment w:val="auto"/>
        <w:rPr>
          <w:rFonts w:hint="eastAsia"/>
        </w:rPr>
      </w:pPr>
      <w:r>
        <w:rPr>
          <w:rFonts w:hint="eastAsia"/>
        </w:rPr>
        <w:t>四川乾新招投标代理有限公司：</w:t>
      </w:r>
    </w:p>
    <w:p w14:paraId="5AFF6A9D">
      <w:pPr>
        <w:pStyle w:val="51"/>
        <w:keepNext w:val="0"/>
        <w:keepLines w:val="0"/>
        <w:widowControl w:val="0"/>
        <w:kinsoku/>
        <w:overflowPunct/>
        <w:autoSpaceDE/>
        <w:autoSpaceDN/>
        <w:bidi w:val="0"/>
        <w:spacing w:line="520" w:lineRule="exact"/>
        <w:textAlignment w:val="auto"/>
        <w:rPr>
          <w:rFonts w:hint="eastAsia"/>
          <w:b/>
          <w:bCs/>
          <w:lang w:val="en-US" w:eastAsia="zh-CN"/>
        </w:rPr>
      </w:pPr>
      <w:r>
        <w:rPr>
          <w:rFonts w:hint="eastAsia"/>
        </w:rPr>
        <w:t>我</w:t>
      </w:r>
      <w:r>
        <w:rPr>
          <w:rFonts w:hint="eastAsia"/>
          <w:lang w:val="en-US" w:eastAsia="zh-CN"/>
        </w:rPr>
        <w:t>单位</w:t>
      </w:r>
      <w:r>
        <w:rPr>
          <w:rFonts w:hint="eastAsia"/>
        </w:rPr>
        <w:t>在贵公司代理的</w:t>
      </w:r>
      <w:r>
        <w:rPr>
          <w:rFonts w:hint="eastAsia"/>
          <w:u w:val="single"/>
        </w:rPr>
        <w:t xml:space="preserve">                        </w:t>
      </w:r>
      <w:r>
        <w:rPr>
          <w:rFonts w:hint="eastAsia"/>
        </w:rPr>
        <w:t>项目(项目编号：</w:t>
      </w:r>
      <w:r>
        <w:rPr>
          <w:rFonts w:hint="eastAsia"/>
          <w:u w:val="single"/>
        </w:rPr>
        <w:t xml:space="preserve">           </w:t>
      </w:r>
      <w:r>
        <w:rPr>
          <w:rFonts w:hint="eastAsia"/>
        </w:rPr>
        <w:t>)竞争性磋商中若获成交，我们保证在收到成交通知后2个工作日内按要求，以支票、银行汇票、电汇、现金或经贵</w:t>
      </w:r>
      <w:r>
        <w:rPr>
          <w:rFonts w:hint="eastAsia"/>
          <w:lang w:val="en-US" w:eastAsia="zh-CN"/>
        </w:rPr>
        <w:t>公司</w:t>
      </w:r>
      <w:r>
        <w:rPr>
          <w:rFonts w:hint="eastAsia"/>
        </w:rPr>
        <w:t>认可的一种方式，向贵</w:t>
      </w:r>
      <w:r>
        <w:rPr>
          <w:rFonts w:hint="eastAsia"/>
          <w:lang w:val="en-US" w:eastAsia="zh-CN"/>
        </w:rPr>
        <w:t>公司</w:t>
      </w:r>
      <w:r>
        <w:rPr>
          <w:rFonts w:hint="eastAsia"/>
        </w:rPr>
        <w:t>即四川乾新招投标代理有限公司指定的银行</w:t>
      </w:r>
      <w:r>
        <w:rPr>
          <w:rFonts w:hint="eastAsia"/>
          <w:lang w:val="en-US" w:eastAsia="zh-CN"/>
        </w:rPr>
        <w:t>账号</w:t>
      </w:r>
      <w:r>
        <w:rPr>
          <w:rFonts w:hint="eastAsia"/>
        </w:rPr>
        <w:t>，按照磋商</w:t>
      </w:r>
      <w:r>
        <w:rPr>
          <w:rFonts w:hint="eastAsia"/>
          <w:lang w:val="zh-CN"/>
        </w:rPr>
        <w:t>文件中</w:t>
      </w:r>
      <w:r>
        <w:rPr>
          <w:rFonts w:hint="eastAsia"/>
          <w:lang w:val="zh-CN" w:eastAsia="zh-CN"/>
        </w:rPr>
        <w:t>招标代理</w:t>
      </w:r>
      <w:r>
        <w:rPr>
          <w:rFonts w:hint="eastAsia"/>
        </w:rPr>
        <w:t>服务费收取标准一次性支付</w:t>
      </w:r>
      <w:r>
        <w:rPr>
          <w:rFonts w:hint="eastAsia"/>
          <w:lang w:val="en-US" w:eastAsia="zh-CN"/>
        </w:rPr>
        <w:t>招标代理</w:t>
      </w:r>
      <w:r>
        <w:rPr>
          <w:rFonts w:hint="eastAsia"/>
        </w:rPr>
        <w:t>服务费。</w:t>
      </w:r>
      <w:r>
        <w:rPr>
          <w:rFonts w:hint="eastAsia"/>
          <w:b/>
          <w:bCs/>
          <w:lang w:val="en-US" w:eastAsia="zh-CN"/>
        </w:rPr>
        <w:t>如因我单位自身原因造成取消成交资格或自愿放弃成交资格的</w:t>
      </w:r>
      <w:r>
        <w:rPr>
          <w:rFonts w:hint="eastAsia"/>
          <w:b/>
          <w:bCs/>
          <w:highlight w:val="none"/>
          <w:lang w:val="en-US" w:eastAsia="zh-CN"/>
        </w:rPr>
        <w:t>，由此造成的损失由我单位自行承担。</w:t>
      </w:r>
    </w:p>
    <w:p w14:paraId="072134C8">
      <w:pPr>
        <w:pStyle w:val="51"/>
        <w:keepNext w:val="0"/>
        <w:keepLines w:val="0"/>
        <w:widowControl w:val="0"/>
        <w:kinsoku/>
        <w:overflowPunct/>
        <w:autoSpaceDE/>
        <w:autoSpaceDN/>
        <w:bidi w:val="0"/>
        <w:spacing w:line="520" w:lineRule="exact"/>
        <w:textAlignment w:val="auto"/>
        <w:rPr>
          <w:rFonts w:hint="eastAsia"/>
        </w:rPr>
      </w:pPr>
    </w:p>
    <w:p w14:paraId="49B04FFB">
      <w:pPr>
        <w:pStyle w:val="51"/>
        <w:keepNext w:val="0"/>
        <w:keepLines w:val="0"/>
        <w:widowControl w:val="0"/>
        <w:kinsoku/>
        <w:overflowPunct/>
        <w:autoSpaceDE/>
        <w:autoSpaceDN/>
        <w:bidi w:val="0"/>
        <w:spacing w:line="520" w:lineRule="exact"/>
        <w:textAlignment w:val="auto"/>
        <w:rPr>
          <w:rFonts w:hint="eastAsia"/>
        </w:rPr>
      </w:pPr>
    </w:p>
    <w:p w14:paraId="11C90937">
      <w:pPr>
        <w:pStyle w:val="51"/>
        <w:keepNext w:val="0"/>
        <w:keepLines w:val="0"/>
        <w:widowControl w:val="0"/>
        <w:kinsoku/>
        <w:overflowPunct/>
        <w:autoSpaceDE/>
        <w:autoSpaceDN/>
        <w:bidi w:val="0"/>
        <w:spacing w:line="520" w:lineRule="exact"/>
        <w:textAlignment w:val="auto"/>
        <w:rPr>
          <w:rFonts w:hint="eastAsia"/>
        </w:rPr>
      </w:pPr>
      <w:r>
        <w:rPr>
          <w:rFonts w:hint="eastAsia"/>
        </w:rPr>
        <w:t>特此承诺。</w:t>
      </w:r>
    </w:p>
    <w:p w14:paraId="380F6399">
      <w:pPr>
        <w:pStyle w:val="48"/>
        <w:keepNext w:val="0"/>
        <w:keepLines w:val="0"/>
        <w:widowControl w:val="0"/>
        <w:kinsoku/>
        <w:overflowPunct/>
        <w:autoSpaceDE/>
        <w:autoSpaceDN/>
        <w:bidi w:val="0"/>
        <w:spacing w:line="520" w:lineRule="exact"/>
        <w:textAlignment w:val="auto"/>
        <w:rPr>
          <w:rFonts w:hint="eastAsia"/>
        </w:rPr>
      </w:pPr>
    </w:p>
    <w:p w14:paraId="0433845C">
      <w:pPr>
        <w:pStyle w:val="48"/>
        <w:keepNext w:val="0"/>
        <w:keepLines w:val="0"/>
        <w:widowControl w:val="0"/>
        <w:kinsoku/>
        <w:overflowPunct/>
        <w:autoSpaceDE/>
        <w:autoSpaceDN/>
        <w:bidi w:val="0"/>
        <w:spacing w:line="520" w:lineRule="exact"/>
        <w:textAlignment w:val="auto"/>
        <w:rPr>
          <w:rFonts w:hint="eastAsia"/>
        </w:rPr>
      </w:pPr>
    </w:p>
    <w:p w14:paraId="53F3F4A7">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供应商</w:t>
      </w:r>
      <w:r>
        <w:rPr>
          <w:rFonts w:hint="eastAsia" w:asciiTheme="minorEastAsia" w:hAnsiTheme="minorEastAsia" w:eastAsiaTheme="minorEastAsia" w:cstheme="minorEastAsia"/>
          <w:color w:val="auto"/>
          <w:sz w:val="24"/>
          <w:highlight w:val="none"/>
        </w:rPr>
        <w:t>名称：</w:t>
      </w:r>
      <w:r>
        <w:rPr>
          <w:rFonts w:hint="eastAsia" w:asciiTheme="minorEastAsia" w:hAnsiTheme="minorEastAsia" w:eastAsiaTheme="minorEastAsia" w:cstheme="minorEastAsia"/>
          <w:bCs/>
          <w:color w:val="auto"/>
          <w:sz w:val="24"/>
          <w:highlight w:val="none"/>
          <w:u w:val="single"/>
        </w:rPr>
        <w:t xml:space="preserve">                </w:t>
      </w:r>
      <w:r>
        <w:rPr>
          <w:rFonts w:hint="eastAsia" w:asciiTheme="minorEastAsia" w:hAnsiTheme="minorEastAsia" w:eastAsiaTheme="minorEastAsia" w:cstheme="minorEastAsia"/>
          <w:color w:val="auto"/>
          <w:sz w:val="24"/>
          <w:highlight w:val="none"/>
        </w:rPr>
        <w:t>(盖章)</w:t>
      </w:r>
    </w:p>
    <w:p w14:paraId="21DE381A">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地  址：</w:t>
      </w:r>
      <w:r>
        <w:rPr>
          <w:rFonts w:hint="eastAsia" w:asciiTheme="minorEastAsia" w:hAnsiTheme="minorEastAsia" w:eastAsiaTheme="minorEastAsia" w:cstheme="minorEastAsia"/>
          <w:bCs/>
          <w:color w:val="auto"/>
          <w:sz w:val="24"/>
          <w:highlight w:val="none"/>
          <w:u w:val="single"/>
        </w:rPr>
        <w:t xml:space="preserve">                </w:t>
      </w:r>
    </w:p>
    <w:p w14:paraId="2F4FEC7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电  话：</w:t>
      </w:r>
      <w:r>
        <w:rPr>
          <w:rFonts w:hint="eastAsia" w:asciiTheme="minorEastAsia" w:hAnsiTheme="minorEastAsia" w:eastAsiaTheme="minorEastAsia" w:cstheme="minorEastAsia"/>
          <w:bCs/>
          <w:color w:val="auto"/>
          <w:sz w:val="24"/>
          <w:highlight w:val="none"/>
          <w:u w:val="single"/>
        </w:rPr>
        <w:t xml:space="preserve">                </w:t>
      </w:r>
    </w:p>
    <w:p w14:paraId="09B5F682">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传  真：</w:t>
      </w:r>
      <w:r>
        <w:rPr>
          <w:rFonts w:hint="eastAsia" w:asciiTheme="minorEastAsia" w:hAnsiTheme="minorEastAsia" w:eastAsiaTheme="minorEastAsia" w:cstheme="minorEastAsia"/>
          <w:bCs/>
          <w:color w:val="auto"/>
          <w:sz w:val="24"/>
          <w:highlight w:val="none"/>
          <w:u w:val="single"/>
        </w:rPr>
        <w:t xml:space="preserve">                </w:t>
      </w:r>
    </w:p>
    <w:p w14:paraId="7CAA11FA">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邮  编：</w:t>
      </w:r>
      <w:r>
        <w:rPr>
          <w:rFonts w:hint="eastAsia" w:asciiTheme="minorEastAsia" w:hAnsiTheme="minorEastAsia" w:eastAsiaTheme="minorEastAsia" w:cstheme="minorEastAsia"/>
          <w:bCs/>
          <w:color w:val="auto"/>
          <w:sz w:val="24"/>
          <w:highlight w:val="none"/>
          <w:u w:val="single"/>
        </w:rPr>
        <w:t xml:space="preserve">                </w:t>
      </w:r>
    </w:p>
    <w:p w14:paraId="263E4C2D">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rPr>
      </w:pPr>
      <w:r>
        <w:rPr>
          <w:rFonts w:hint="eastAsia"/>
          <w:lang w:eastAsia="zh-CN"/>
        </w:rPr>
        <w:t>法定</w:t>
      </w:r>
      <w:r>
        <w:rPr>
          <w:rFonts w:hint="eastAsia" w:asciiTheme="minorEastAsia" w:hAnsiTheme="minorEastAsia" w:eastAsiaTheme="minorEastAsia" w:cstheme="minorEastAsia"/>
          <w:color w:val="auto"/>
          <w:sz w:val="24"/>
          <w:highlight w:val="none"/>
          <w:lang w:eastAsia="zh-CN"/>
        </w:rPr>
        <w:t>代表人</w:t>
      </w:r>
      <w:r>
        <w:rPr>
          <w:rFonts w:hint="eastAsia"/>
          <w:lang w:eastAsia="zh-CN"/>
        </w:rPr>
        <w:t>/单位负责人或授权代表</w:t>
      </w:r>
      <w:r>
        <w:rPr>
          <w:rFonts w:hint="eastAsia"/>
        </w:rPr>
        <w:t>：</w:t>
      </w:r>
      <w:r>
        <w:rPr>
          <w:rFonts w:hint="eastAsia" w:asciiTheme="minorEastAsia" w:hAnsiTheme="minorEastAsia" w:eastAsiaTheme="minorEastAsia" w:cstheme="minorEastAsia"/>
          <w:bCs/>
          <w:color w:val="auto"/>
          <w:sz w:val="24"/>
          <w:szCs w:val="24"/>
          <w:highlight w:val="none"/>
          <w:u w:val="single"/>
        </w:rPr>
        <w:t xml:space="preserve">               </w:t>
      </w:r>
      <w:r>
        <w:rPr>
          <w:rFonts w:hint="eastAsia"/>
        </w:rPr>
        <w:t>(签字</w:t>
      </w:r>
      <w:r>
        <w:rPr>
          <w:rFonts w:hint="eastAsia"/>
          <w:lang w:eastAsia="zh-CN"/>
        </w:rPr>
        <w:t>或盖章</w:t>
      </w:r>
      <w:r>
        <w:rPr>
          <w:rFonts w:hint="eastAsia"/>
        </w:rPr>
        <w:t>)</w:t>
      </w:r>
    </w:p>
    <w:p w14:paraId="11AE75B2">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bCs/>
          <w:color w:val="auto"/>
          <w:sz w:val="24"/>
          <w:highlight w:val="none"/>
          <w:u w:val="single"/>
        </w:rPr>
      </w:pPr>
      <w:r>
        <w:rPr>
          <w:rFonts w:hint="eastAsia" w:asciiTheme="minorEastAsia" w:hAnsiTheme="minorEastAsia" w:eastAsiaTheme="minorEastAsia" w:cstheme="minorEastAsia"/>
          <w:color w:val="auto"/>
          <w:sz w:val="24"/>
          <w:highlight w:val="none"/>
        </w:rPr>
        <w:t>承诺日期：</w:t>
      </w:r>
      <w:r>
        <w:rPr>
          <w:rFonts w:hint="eastAsia" w:asciiTheme="minorEastAsia" w:hAnsiTheme="minorEastAsia" w:eastAsiaTheme="minorEastAsia" w:cstheme="minorEastAsia"/>
          <w:bCs/>
          <w:color w:val="auto"/>
          <w:sz w:val="24"/>
          <w:highlight w:val="none"/>
          <w:u w:val="single"/>
        </w:rPr>
        <w:t xml:space="preserve">                </w:t>
      </w:r>
    </w:p>
    <w:p w14:paraId="5BFF9A6D">
      <w:pPr>
        <w:rPr>
          <w:rFonts w:hint="eastAsia" w:asciiTheme="minorEastAsia" w:hAnsiTheme="minorEastAsia" w:eastAsiaTheme="minorEastAsia" w:cstheme="minorEastAsia"/>
          <w:bCs/>
          <w:color w:val="auto"/>
          <w:sz w:val="24"/>
          <w:highlight w:val="none"/>
          <w:u w:val="single"/>
        </w:rPr>
      </w:pPr>
      <w:r>
        <w:rPr>
          <w:rFonts w:hint="eastAsia" w:asciiTheme="minorEastAsia" w:hAnsiTheme="minorEastAsia" w:eastAsiaTheme="minorEastAsia" w:cstheme="minorEastAsia"/>
          <w:bCs/>
          <w:color w:val="auto"/>
          <w:sz w:val="24"/>
          <w:highlight w:val="none"/>
          <w:u w:val="single"/>
        </w:rPr>
        <w:br w:type="page"/>
      </w:r>
    </w:p>
    <w:p w14:paraId="58E8E8E3">
      <w:pPr>
        <w:pStyle w:val="49"/>
        <w:numPr>
          <w:ilvl w:val="0"/>
          <w:numId w:val="15"/>
        </w:numPr>
        <w:bidi w:val="0"/>
        <w:ind w:leftChars="0"/>
        <w:rPr>
          <w:rFonts w:hint="eastAsia" w:ascii="宋体" w:hAnsi="宋体" w:eastAsia="宋体"/>
          <w:lang w:val="en-US" w:eastAsia="zh-CN"/>
        </w:rPr>
      </w:pPr>
      <w:bookmarkStart w:id="418" w:name="_Toc17516"/>
      <w:bookmarkStart w:id="419" w:name="_Toc11380"/>
      <w:bookmarkStart w:id="420" w:name="_Toc25030"/>
      <w:bookmarkStart w:id="421" w:name="_Toc10668"/>
      <w:r>
        <w:rPr>
          <w:rFonts w:hint="eastAsia" w:ascii="宋体" w:hAnsi="宋体" w:eastAsia="宋体"/>
          <w:lang w:val="en-US" w:eastAsia="zh-CN"/>
        </w:rPr>
        <w:t>报价表</w:t>
      </w:r>
      <w:bookmarkEnd w:id="418"/>
      <w:bookmarkEnd w:id="419"/>
      <w:bookmarkEnd w:id="420"/>
      <w:bookmarkEnd w:id="421"/>
    </w:p>
    <w:p w14:paraId="1524BDAE">
      <w:pPr>
        <w:widowControl w:val="0"/>
        <w:spacing w:line="440" w:lineRule="exact"/>
        <w:jc w:val="center"/>
        <w:rPr>
          <w:rFonts w:hint="eastAsia" w:asciiTheme="minorEastAsia" w:hAnsiTheme="minorEastAsia" w:eastAsiaTheme="minorEastAsia" w:cstheme="minorEastAsia"/>
          <w:color w:val="000000"/>
          <w:sz w:val="32"/>
          <w:szCs w:val="32"/>
          <w:highlight w:val="none"/>
        </w:rPr>
      </w:pPr>
      <w:r>
        <w:rPr>
          <w:rFonts w:hint="eastAsia" w:asciiTheme="minorEastAsia" w:hAnsiTheme="minorEastAsia" w:eastAsiaTheme="minorEastAsia" w:cstheme="minorEastAsia"/>
          <w:color w:val="000000"/>
          <w:sz w:val="32"/>
          <w:szCs w:val="28"/>
          <w:highlight w:val="none"/>
          <w:lang w:val="en-US" w:eastAsia="zh-CN"/>
        </w:rPr>
        <w:t>第</w:t>
      </w:r>
      <w:r>
        <w:rPr>
          <w:rFonts w:hint="eastAsia" w:asciiTheme="minorEastAsia" w:hAnsiTheme="minorEastAsia" w:eastAsiaTheme="minorEastAsia" w:cstheme="minorEastAsia"/>
          <w:color w:val="000000"/>
          <w:sz w:val="32"/>
          <w:szCs w:val="28"/>
          <w:highlight w:val="none"/>
          <w:u w:val="single"/>
          <w:lang w:val="en-US" w:eastAsia="zh-CN"/>
        </w:rPr>
        <w:t xml:space="preserve"> N </w:t>
      </w:r>
      <w:r>
        <w:rPr>
          <w:rFonts w:hint="eastAsia" w:asciiTheme="minorEastAsia" w:hAnsiTheme="minorEastAsia" w:eastAsiaTheme="minorEastAsia" w:cstheme="minorEastAsia"/>
          <w:color w:val="000000"/>
          <w:sz w:val="32"/>
          <w:szCs w:val="28"/>
          <w:highlight w:val="none"/>
          <w:lang w:val="en-US" w:eastAsia="zh-CN"/>
        </w:rPr>
        <w:t>轮报价/</w:t>
      </w:r>
      <w:r>
        <w:rPr>
          <w:rFonts w:hint="eastAsia" w:asciiTheme="minorEastAsia" w:hAnsiTheme="minorEastAsia" w:eastAsiaTheme="minorEastAsia" w:cstheme="minorEastAsia"/>
          <w:color w:val="000000"/>
          <w:sz w:val="32"/>
          <w:szCs w:val="28"/>
          <w:highlight w:val="none"/>
        </w:rPr>
        <w:t>最后报价</w:t>
      </w:r>
      <w:r>
        <w:rPr>
          <w:rFonts w:hint="eastAsia" w:asciiTheme="minorEastAsia" w:hAnsiTheme="minorEastAsia" w:eastAsiaTheme="minorEastAsia" w:cstheme="minorEastAsia"/>
          <w:color w:val="000000"/>
          <w:sz w:val="32"/>
          <w:szCs w:val="28"/>
          <w:highlight w:val="none"/>
          <w:lang w:eastAsia="zh-CN"/>
        </w:rPr>
        <w:t>(</w:t>
      </w:r>
      <w:r>
        <w:rPr>
          <w:rFonts w:hint="eastAsia" w:asciiTheme="minorEastAsia" w:hAnsiTheme="minorEastAsia" w:eastAsiaTheme="minorEastAsia" w:cstheme="minorEastAsia"/>
          <w:b/>
          <w:color w:val="000000"/>
          <w:sz w:val="32"/>
          <w:szCs w:val="28"/>
          <w:highlight w:val="none"/>
          <w:lang w:val="en-US" w:eastAsia="zh-CN"/>
        </w:rPr>
        <w:t>根据磋商实际情况选择</w:t>
      </w:r>
      <w:r>
        <w:rPr>
          <w:rFonts w:hint="eastAsia" w:asciiTheme="minorEastAsia" w:hAnsiTheme="minorEastAsia" w:eastAsiaTheme="minorEastAsia" w:cstheme="minorEastAsia"/>
          <w:color w:val="000000"/>
          <w:sz w:val="32"/>
          <w:szCs w:val="28"/>
          <w:highlight w:val="none"/>
          <w:lang w:eastAsia="zh-CN"/>
        </w:rPr>
        <w:t>)</w:t>
      </w:r>
    </w:p>
    <w:p w14:paraId="7777574C">
      <w:pPr>
        <w:widowControl w:val="0"/>
        <w:wordWrap w:val="0"/>
        <w:topLinePunct/>
        <w:spacing w:line="440" w:lineRule="exact"/>
        <w:jc w:val="both"/>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项目名称：</w:t>
      </w:r>
      <w:r>
        <w:rPr>
          <w:rFonts w:hint="eastAsia" w:asciiTheme="minorEastAsia" w:hAnsiTheme="minorEastAsia" w:eastAsiaTheme="minorEastAsia" w:cstheme="minorEastAsia"/>
          <w:color w:val="000000"/>
          <w:sz w:val="24"/>
          <w:szCs w:val="24"/>
          <w:u w:val="single"/>
        </w:rPr>
        <w:t xml:space="preserve">                        </w:t>
      </w:r>
    </w:p>
    <w:p w14:paraId="1270FFB7">
      <w:pPr>
        <w:widowControl w:val="0"/>
        <w:wordWrap w:val="0"/>
        <w:topLinePunct/>
        <w:spacing w:line="440" w:lineRule="exact"/>
        <w:jc w:val="both"/>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项目编号：</w:t>
      </w:r>
      <w:r>
        <w:rPr>
          <w:rFonts w:hint="eastAsia" w:asciiTheme="minorEastAsia" w:hAnsiTheme="minorEastAsia" w:eastAsiaTheme="minorEastAsia" w:cstheme="minorEastAsia"/>
          <w:color w:val="000000"/>
          <w:sz w:val="24"/>
          <w:szCs w:val="24"/>
          <w:u w:val="single"/>
        </w:rPr>
        <w:t xml:space="preserve">                        </w:t>
      </w:r>
    </w:p>
    <w:tbl>
      <w:tblPr>
        <w:tblStyle w:val="2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6"/>
        <w:gridCol w:w="2108"/>
        <w:gridCol w:w="767"/>
        <w:gridCol w:w="4209"/>
        <w:gridCol w:w="709"/>
      </w:tblGrid>
      <w:tr w14:paraId="33EFD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trPr>
        <w:tc>
          <w:tcPr>
            <w:tcW w:w="426" w:type="pct"/>
            <w:vAlign w:val="center"/>
          </w:tcPr>
          <w:p w14:paraId="6EA70708">
            <w:pPr>
              <w:wordWrap w:val="0"/>
              <w:topLinePunct/>
              <w:spacing w:line="520" w:lineRule="exact"/>
              <w:jc w:val="center"/>
              <w:rPr>
                <w:rFonts w:hint="eastAsia" w:ascii="宋体" w:hAnsi="宋体" w:eastAsia="宋体" w:cs="宋体"/>
                <w:b/>
                <w:sz w:val="21"/>
                <w:szCs w:val="21"/>
              </w:rPr>
            </w:pPr>
            <w:r>
              <w:rPr>
                <w:rFonts w:hint="eastAsia" w:ascii="宋体" w:hAnsi="宋体" w:eastAsia="宋体" w:cs="宋体"/>
                <w:b/>
                <w:sz w:val="21"/>
                <w:szCs w:val="21"/>
              </w:rPr>
              <w:t>序号</w:t>
            </w:r>
          </w:p>
        </w:tc>
        <w:tc>
          <w:tcPr>
            <w:tcW w:w="1237" w:type="pct"/>
            <w:vAlign w:val="center"/>
          </w:tcPr>
          <w:p w14:paraId="1370F894">
            <w:pPr>
              <w:wordWrap w:val="0"/>
              <w:topLinePunct/>
              <w:spacing w:line="520" w:lineRule="exact"/>
              <w:jc w:val="center"/>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采购内容</w:t>
            </w:r>
          </w:p>
        </w:tc>
        <w:tc>
          <w:tcPr>
            <w:tcW w:w="450" w:type="pct"/>
            <w:vAlign w:val="center"/>
          </w:tcPr>
          <w:p w14:paraId="16CD971E">
            <w:pPr>
              <w:wordWrap w:val="0"/>
              <w:topLinePunct/>
              <w:spacing w:line="520" w:lineRule="exact"/>
              <w:jc w:val="center"/>
              <w:rPr>
                <w:rFonts w:hint="eastAsia" w:ascii="宋体" w:hAnsi="宋体" w:eastAsia="宋体" w:cs="宋体"/>
                <w:b/>
                <w:sz w:val="21"/>
                <w:szCs w:val="21"/>
              </w:rPr>
            </w:pPr>
            <w:r>
              <w:rPr>
                <w:rFonts w:hint="eastAsia" w:ascii="宋体" w:hAnsi="宋体" w:eastAsia="宋体" w:cs="宋体"/>
                <w:b/>
                <w:sz w:val="21"/>
                <w:szCs w:val="21"/>
                <w:lang w:val="en-US" w:eastAsia="zh-CN"/>
              </w:rPr>
              <w:t>数量/</w:t>
            </w:r>
            <w:r>
              <w:rPr>
                <w:rFonts w:hint="eastAsia" w:ascii="宋体" w:hAnsi="宋体" w:eastAsia="宋体" w:cs="宋体"/>
                <w:b/>
                <w:sz w:val="21"/>
                <w:szCs w:val="21"/>
              </w:rPr>
              <w:t>单位</w:t>
            </w:r>
          </w:p>
        </w:tc>
        <w:tc>
          <w:tcPr>
            <w:tcW w:w="2470" w:type="pct"/>
            <w:vAlign w:val="center"/>
          </w:tcPr>
          <w:p w14:paraId="201819F3">
            <w:pPr>
              <w:wordWrap w:val="0"/>
              <w:topLinePunct/>
              <w:spacing w:line="520" w:lineRule="exact"/>
              <w:jc w:val="center"/>
              <w:rPr>
                <w:rFonts w:hint="eastAsia" w:ascii="宋体" w:hAnsi="宋体" w:eastAsia="宋体" w:cs="宋体"/>
                <w:b/>
                <w:sz w:val="21"/>
                <w:szCs w:val="21"/>
              </w:rPr>
            </w:pPr>
            <w:r>
              <w:rPr>
                <w:rFonts w:hint="eastAsia" w:ascii="宋体" w:hAnsi="宋体" w:eastAsia="宋体" w:cs="宋体"/>
                <w:b/>
                <w:sz w:val="21"/>
                <w:szCs w:val="21"/>
                <w:lang w:val="en-US" w:eastAsia="zh-CN"/>
              </w:rPr>
              <w:t>折扣</w:t>
            </w:r>
          </w:p>
        </w:tc>
        <w:tc>
          <w:tcPr>
            <w:tcW w:w="414" w:type="pct"/>
            <w:vAlign w:val="center"/>
          </w:tcPr>
          <w:p w14:paraId="4CFB5F04">
            <w:pPr>
              <w:wordWrap w:val="0"/>
              <w:topLinePunct/>
              <w:spacing w:line="520" w:lineRule="exact"/>
              <w:jc w:val="center"/>
              <w:rPr>
                <w:rFonts w:hint="eastAsia" w:ascii="宋体" w:hAnsi="宋体" w:eastAsia="宋体" w:cs="宋体"/>
                <w:b/>
                <w:sz w:val="21"/>
                <w:szCs w:val="21"/>
                <w:lang w:eastAsia="zh-CN"/>
              </w:rPr>
            </w:pPr>
            <w:r>
              <w:rPr>
                <w:rFonts w:hint="eastAsia" w:ascii="宋体" w:hAnsi="宋体" w:eastAsia="宋体" w:cs="宋体"/>
                <w:b/>
                <w:sz w:val="21"/>
                <w:szCs w:val="21"/>
                <w:lang w:val="en-US" w:eastAsia="zh-CN"/>
              </w:rPr>
              <w:t>备注</w:t>
            </w:r>
          </w:p>
        </w:tc>
      </w:tr>
      <w:tr w14:paraId="3DD97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 w:hRule="atLeast"/>
        </w:trPr>
        <w:tc>
          <w:tcPr>
            <w:tcW w:w="426" w:type="pct"/>
            <w:vAlign w:val="center"/>
          </w:tcPr>
          <w:p w14:paraId="1C7A36B6">
            <w:pPr>
              <w:wordWrap w:val="0"/>
              <w:topLinePunct/>
              <w:spacing w:line="520" w:lineRule="exact"/>
              <w:jc w:val="center"/>
              <w:rPr>
                <w:rFonts w:hint="eastAsia" w:ascii="宋体" w:hAnsi="宋体" w:eastAsia="宋体" w:cs="宋体"/>
                <w:bCs/>
                <w:sz w:val="21"/>
                <w:szCs w:val="21"/>
              </w:rPr>
            </w:pPr>
            <w:r>
              <w:rPr>
                <w:rFonts w:hint="eastAsia" w:ascii="宋体" w:hAnsi="宋体" w:eastAsia="宋体" w:cs="宋体"/>
                <w:bCs/>
                <w:sz w:val="21"/>
                <w:szCs w:val="21"/>
              </w:rPr>
              <w:t>1</w:t>
            </w:r>
          </w:p>
        </w:tc>
        <w:tc>
          <w:tcPr>
            <w:tcW w:w="1237" w:type="pct"/>
            <w:vAlign w:val="center"/>
          </w:tcPr>
          <w:p w14:paraId="70C883F6">
            <w:pPr>
              <w:widowControl w:val="0"/>
              <w:wordWrap w:val="0"/>
              <w:topLinePunct/>
              <w:adjustRightInd w:val="0"/>
              <w:snapToGrid w:val="0"/>
              <w:spacing w:line="520" w:lineRule="exact"/>
              <w:jc w:val="center"/>
              <w:rPr>
                <w:rFonts w:hint="eastAsia" w:ascii="宋体" w:hAnsi="宋体" w:eastAsia="宋体" w:cs="宋体"/>
                <w:bCs/>
                <w:sz w:val="21"/>
                <w:szCs w:val="21"/>
                <w:lang w:eastAsia="zh-CN"/>
              </w:rPr>
            </w:pPr>
            <w:r>
              <w:rPr>
                <w:rFonts w:hint="eastAsia" w:ascii="宋体" w:hAnsi="宋体" w:eastAsia="宋体" w:cs="宋体"/>
                <w:bCs/>
                <w:sz w:val="21"/>
                <w:szCs w:val="21"/>
                <w:lang w:eastAsia="zh-CN"/>
              </w:rPr>
              <w:t>西南石油大学四川省天然气产业产教深度融合综合示范基地跟踪审计服务</w:t>
            </w:r>
          </w:p>
        </w:tc>
        <w:tc>
          <w:tcPr>
            <w:tcW w:w="450" w:type="pct"/>
            <w:vAlign w:val="center"/>
          </w:tcPr>
          <w:p w14:paraId="6BE64494">
            <w:pPr>
              <w:widowControl w:val="0"/>
              <w:wordWrap w:val="0"/>
              <w:topLinePunct/>
              <w:adjustRightInd w:val="0"/>
              <w:snapToGrid w:val="0"/>
              <w:spacing w:line="520" w:lineRule="exact"/>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1项</w:t>
            </w:r>
          </w:p>
        </w:tc>
        <w:tc>
          <w:tcPr>
            <w:tcW w:w="2470" w:type="pct"/>
            <w:vAlign w:val="center"/>
          </w:tcPr>
          <w:p w14:paraId="20DE450A">
            <w:pPr>
              <w:widowControl w:val="0"/>
              <w:wordWrap w:val="0"/>
              <w:topLinePunct/>
              <w:adjustRightInd w:val="0"/>
              <w:snapToGrid w:val="0"/>
              <w:spacing w:line="520" w:lineRule="exact"/>
              <w:jc w:val="both"/>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以竣工结算审定金额作为计费基数，按照下表的收费费率标准*</w:t>
            </w:r>
            <w:r>
              <w:rPr>
                <w:rFonts w:hint="eastAsia" w:ascii="宋体" w:hAnsi="宋体" w:eastAsia="宋体" w:cs="宋体"/>
                <w:bCs/>
                <w:sz w:val="21"/>
                <w:szCs w:val="21"/>
                <w:u w:val="single"/>
                <w:lang w:val="en-US" w:eastAsia="zh-CN"/>
              </w:rPr>
              <w:t xml:space="preserve">   %(大写：百分之</w:t>
            </w:r>
            <w:r>
              <w:rPr>
                <w:rFonts w:hint="eastAsia" w:ascii="宋体" w:hAnsi="宋体" w:eastAsia="宋体" w:cs="宋体"/>
                <w:bCs/>
                <w:sz w:val="21"/>
                <w:szCs w:val="21"/>
                <w:u w:val="none"/>
                <w:lang w:val="en-US" w:eastAsia="zh-CN"/>
              </w:rPr>
              <w:t xml:space="preserve">    </w:t>
            </w:r>
            <w:r>
              <w:rPr>
                <w:rFonts w:hint="eastAsia" w:ascii="宋体" w:hAnsi="宋体" w:eastAsia="宋体" w:cs="宋体"/>
                <w:bCs/>
                <w:sz w:val="21"/>
                <w:szCs w:val="21"/>
                <w:u w:val="single"/>
                <w:lang w:val="en-US" w:eastAsia="zh-CN"/>
              </w:rPr>
              <w:t>)计算收取跟踪审计服务费</w:t>
            </w:r>
            <w:r>
              <w:rPr>
                <w:rFonts w:hint="eastAsia" w:ascii="宋体" w:hAnsi="宋体" w:eastAsia="宋体" w:cs="宋体"/>
                <w:bCs/>
                <w:sz w:val="21"/>
                <w:szCs w:val="21"/>
                <w:lang w:val="en-US" w:eastAsia="zh-CN"/>
              </w:rPr>
              <w:t>。</w:t>
            </w:r>
          </w:p>
          <w:p w14:paraId="19A10824">
            <w:pPr>
              <w:widowControl w:val="0"/>
              <w:wordWrap w:val="0"/>
              <w:topLinePunct/>
              <w:adjustRightInd w:val="0"/>
              <w:snapToGrid w:val="0"/>
              <w:spacing w:line="520" w:lineRule="exact"/>
              <w:jc w:val="both"/>
              <w:rPr>
                <w:rFonts w:hint="eastAsia" w:ascii="宋体" w:hAnsi="宋体" w:eastAsia="宋体" w:cs="宋体"/>
                <w:bCs/>
                <w:sz w:val="21"/>
                <w:szCs w:val="21"/>
                <w:lang w:val="en-US" w:eastAsia="zh-CN"/>
              </w:rPr>
            </w:pPr>
            <w:r>
              <w:rPr>
                <w:rFonts w:hint="eastAsia" w:ascii="宋体" w:hAnsi="宋体" w:eastAsia="宋体" w:cs="宋体"/>
              </w:rPr>
              <w:drawing>
                <wp:anchor distT="0" distB="0" distL="114300" distR="114300" simplePos="0" relativeHeight="251660288" behindDoc="0" locked="0" layoutInCell="1" allowOverlap="1">
                  <wp:simplePos x="0" y="0"/>
                  <wp:positionH relativeFrom="column">
                    <wp:posOffset>-15240</wp:posOffset>
                  </wp:positionH>
                  <wp:positionV relativeFrom="paragraph">
                    <wp:posOffset>74930</wp:posOffset>
                  </wp:positionV>
                  <wp:extent cx="2591435" cy="542290"/>
                  <wp:effectExtent l="0" t="0" r="18415" b="10160"/>
                  <wp:wrapNone/>
                  <wp:docPr id="11"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5"/>
                          <pic:cNvPicPr>
                            <a:picLocks noChangeAspect="1"/>
                          </pic:cNvPicPr>
                        </pic:nvPicPr>
                        <pic:blipFill>
                          <a:blip r:embed="rId19"/>
                          <a:srcRect l="748"/>
                          <a:stretch>
                            <a:fillRect/>
                          </a:stretch>
                        </pic:blipFill>
                        <pic:spPr>
                          <a:xfrm>
                            <a:off x="0" y="0"/>
                            <a:ext cx="2591435" cy="542290"/>
                          </a:xfrm>
                          <a:prstGeom prst="rect">
                            <a:avLst/>
                          </a:prstGeom>
                          <a:noFill/>
                          <a:ln>
                            <a:noFill/>
                          </a:ln>
                        </pic:spPr>
                      </pic:pic>
                    </a:graphicData>
                  </a:graphic>
                </wp:anchor>
              </w:drawing>
            </w:r>
          </w:p>
          <w:p w14:paraId="5CA8C4FE">
            <w:pPr>
              <w:widowControl w:val="0"/>
              <w:wordWrap w:val="0"/>
              <w:topLinePunct/>
              <w:adjustRightInd w:val="0"/>
              <w:snapToGrid w:val="0"/>
              <w:spacing w:line="520" w:lineRule="exact"/>
              <w:jc w:val="both"/>
              <w:rPr>
                <w:rFonts w:hint="eastAsia" w:ascii="宋体" w:hAnsi="宋体" w:eastAsia="宋体" w:cs="宋体"/>
                <w:bCs/>
                <w:sz w:val="21"/>
                <w:szCs w:val="21"/>
                <w:u w:val="none"/>
                <w:lang w:val="en-US" w:eastAsia="zh-CN"/>
              </w:rPr>
            </w:pPr>
          </w:p>
        </w:tc>
        <w:tc>
          <w:tcPr>
            <w:tcW w:w="414" w:type="pct"/>
            <w:vAlign w:val="center"/>
          </w:tcPr>
          <w:p w14:paraId="75C10270">
            <w:pPr>
              <w:widowControl w:val="0"/>
              <w:wordWrap w:val="0"/>
              <w:topLinePunct/>
              <w:adjustRightInd w:val="0"/>
              <w:snapToGrid w:val="0"/>
              <w:spacing w:line="520" w:lineRule="exact"/>
              <w:jc w:val="center"/>
              <w:rPr>
                <w:rFonts w:hint="eastAsia" w:ascii="宋体" w:hAnsi="宋体" w:eastAsia="宋体" w:cs="宋体"/>
                <w:bCs/>
                <w:sz w:val="21"/>
                <w:szCs w:val="21"/>
              </w:rPr>
            </w:pPr>
          </w:p>
        </w:tc>
      </w:tr>
      <w:tr w14:paraId="50E4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trPr>
        <w:tc>
          <w:tcPr>
            <w:tcW w:w="426" w:type="pct"/>
            <w:vAlign w:val="center"/>
          </w:tcPr>
          <w:p w14:paraId="3B3EA7BB">
            <w:pPr>
              <w:wordWrap w:val="0"/>
              <w:topLinePunct/>
              <w:spacing w:line="240" w:lineRule="atLeast"/>
              <w:jc w:val="center"/>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t>服务期限</w:t>
            </w:r>
          </w:p>
        </w:tc>
        <w:tc>
          <w:tcPr>
            <w:tcW w:w="4573" w:type="pct"/>
            <w:gridSpan w:val="4"/>
            <w:vAlign w:val="center"/>
          </w:tcPr>
          <w:p w14:paraId="3045E7E1">
            <w:pPr>
              <w:widowControl w:val="0"/>
              <w:wordWrap w:val="0"/>
              <w:topLinePunct/>
              <w:adjustRightInd w:val="0"/>
              <w:snapToGrid w:val="0"/>
              <w:spacing w:line="520" w:lineRule="exact"/>
              <w:jc w:val="both"/>
              <w:rPr>
                <w:rFonts w:hint="eastAsia" w:ascii="宋体" w:hAnsi="宋体" w:eastAsia="宋体" w:cs="宋体"/>
                <w:bCs/>
                <w:sz w:val="21"/>
                <w:szCs w:val="21"/>
                <w:lang w:eastAsia="zh-CN"/>
              </w:rPr>
            </w:pPr>
            <w:r>
              <w:rPr>
                <w:rFonts w:hint="eastAsia" w:ascii="宋体" w:hAnsi="宋体" w:eastAsia="宋体" w:cs="宋体"/>
                <w:bCs/>
                <w:sz w:val="21"/>
                <w:szCs w:val="21"/>
                <w:lang w:eastAsia="zh-CN"/>
              </w:rPr>
              <w:t>从接到采购人通知之日开始实施，至采购人确认审计业务结束日终结。</w:t>
            </w:r>
          </w:p>
        </w:tc>
      </w:tr>
    </w:tbl>
    <w:p w14:paraId="344D6DF8">
      <w:pPr>
        <w:widowControl w:val="0"/>
        <w:wordWrap w:val="0"/>
        <w:topLinePunct/>
        <w:spacing w:line="440" w:lineRule="exact"/>
        <w:jc w:val="both"/>
        <w:rPr>
          <w:rFonts w:hint="eastAsia" w:asciiTheme="minorEastAsia" w:hAnsiTheme="minorEastAsia" w:eastAsiaTheme="minorEastAsia" w:cstheme="minorEastAsia"/>
          <w:color w:val="FF0000"/>
          <w:sz w:val="24"/>
          <w:szCs w:val="24"/>
          <w:highlight w:val="none"/>
        </w:rPr>
      </w:pPr>
      <w:r>
        <w:rPr>
          <w:rFonts w:hint="eastAsia" w:asciiTheme="minorEastAsia" w:hAnsiTheme="minorEastAsia" w:eastAsiaTheme="minorEastAsia" w:cstheme="minorEastAsia"/>
          <w:color w:val="000000"/>
          <w:sz w:val="24"/>
          <w:szCs w:val="24"/>
          <w:u w:val="none"/>
          <w:lang w:val="en-US" w:eastAsia="zh-CN"/>
        </w:rPr>
        <w:t xml:space="preserve">                              </w:t>
      </w:r>
    </w:p>
    <w:p w14:paraId="38BD2719">
      <w:pPr>
        <w:pStyle w:val="53"/>
        <w:bidi w:val="0"/>
        <w:rPr>
          <w:rFonts w:hint="eastAsia"/>
          <w:highlight w:val="none"/>
          <w:lang w:val="zh-CN"/>
        </w:rPr>
      </w:pPr>
      <w:r>
        <w:rPr>
          <w:rFonts w:hint="eastAsia"/>
          <w:highlight w:val="none"/>
          <w:lang w:val="en-US" w:eastAsia="zh-CN"/>
        </w:rPr>
        <w:t>注：报价应为完成本竞争性磋商文件中所要求的服务所应包括内容的所有价格，包含人工劳务、设备投入、成果、保险、税费、利润、招标代理服务费等完成本项目所需的一切费用</w:t>
      </w:r>
      <w:r>
        <w:rPr>
          <w:rFonts w:hint="eastAsia"/>
          <w:highlight w:val="none"/>
          <w:lang w:val="zh-CN"/>
        </w:rPr>
        <w:t>。专业调整系数、工程复杂程度调整系数均为1。</w:t>
      </w:r>
    </w:p>
    <w:p w14:paraId="5F782286">
      <w:pPr>
        <w:pStyle w:val="53"/>
        <w:bidi w:val="0"/>
        <w:rPr>
          <w:rFonts w:hint="eastAsia"/>
          <w:highlight w:val="none"/>
          <w:lang w:val="en-US" w:eastAsia="zh-CN"/>
        </w:rPr>
      </w:pPr>
    </w:p>
    <w:p w14:paraId="23FD47D9">
      <w:pPr>
        <w:tabs>
          <w:tab w:val="left" w:pos="540"/>
          <w:tab w:val="left" w:pos="900"/>
          <w:tab w:val="clear" w:pos="0"/>
        </w:tabs>
        <w:rPr>
          <w:rFonts w:hint="eastAsia" w:asciiTheme="minorEastAsia" w:hAnsiTheme="minorEastAsia" w:eastAsiaTheme="minorEastAsia" w:cstheme="minorEastAsia"/>
          <w:color w:val="000000"/>
          <w:sz w:val="24"/>
        </w:rPr>
      </w:pPr>
    </w:p>
    <w:p w14:paraId="017E16B0">
      <w:pPr>
        <w:tabs>
          <w:tab w:val="left" w:pos="540"/>
          <w:tab w:val="left" w:pos="900"/>
          <w:tab w:val="clear" w:pos="0"/>
        </w:tabs>
        <w:rPr>
          <w:rFonts w:hint="eastAsia" w:asciiTheme="minorEastAsia" w:hAnsiTheme="minorEastAsia" w:eastAsiaTheme="minorEastAsia" w:cstheme="minorEastAsia"/>
          <w:color w:val="000000"/>
          <w:sz w:val="24"/>
        </w:rPr>
      </w:pPr>
    </w:p>
    <w:p w14:paraId="139E37C1">
      <w:pPr>
        <w:pStyle w:val="51"/>
        <w:bidi w:val="0"/>
        <w:rPr>
          <w:rFonts w:hint="eastAsia"/>
          <w:u w:val="single"/>
        </w:rPr>
      </w:pPr>
      <w:r>
        <w:rPr>
          <w:rFonts w:hint="eastAsia"/>
        </w:rPr>
        <w:t>供应商名称：</w:t>
      </w:r>
      <w:r>
        <w:rPr>
          <w:rFonts w:hint="eastAsia"/>
          <w:u w:val="single"/>
        </w:rPr>
        <w:t xml:space="preserve">  </w:t>
      </w:r>
      <w:r>
        <w:rPr>
          <w:rFonts w:hint="eastAsia"/>
          <w:u w:val="single"/>
          <w:lang w:val="en-US" w:eastAsia="zh-CN"/>
        </w:rPr>
        <w:t xml:space="preserve">                  </w:t>
      </w:r>
      <w:r>
        <w:rPr>
          <w:rFonts w:hint="eastAsia"/>
          <w:u w:val="single"/>
        </w:rPr>
        <w:t xml:space="preserve">  </w:t>
      </w:r>
    </w:p>
    <w:p w14:paraId="7FB2D67C">
      <w:pPr>
        <w:pStyle w:val="51"/>
        <w:bidi w:val="0"/>
        <w:rPr>
          <w:rFonts w:hint="eastAsia"/>
        </w:rPr>
      </w:pPr>
      <w:r>
        <w:rPr>
          <w:rFonts w:hint="eastAsia"/>
          <w:lang w:eastAsia="zh-CN"/>
        </w:rPr>
        <w:t>法定代表人/单位负责人或授权代表</w:t>
      </w:r>
      <w:r>
        <w:rPr>
          <w:rFonts w:hint="eastAsia"/>
        </w:rPr>
        <w:t>：</w:t>
      </w:r>
      <w:r>
        <w:rPr>
          <w:rFonts w:hint="eastAsia"/>
          <w:u w:val="single"/>
        </w:rPr>
        <w:t xml:space="preserve">                  </w:t>
      </w:r>
      <w:r>
        <w:rPr>
          <w:rFonts w:hint="eastAsia"/>
          <w:lang w:eastAsia="zh-CN"/>
        </w:rPr>
        <w:t>(</w:t>
      </w:r>
      <w:r>
        <w:rPr>
          <w:rFonts w:hint="eastAsia"/>
        </w:rPr>
        <w:t>签</w:t>
      </w:r>
      <w:r>
        <w:rPr>
          <w:rFonts w:hint="eastAsia"/>
          <w:lang w:val="en-US" w:eastAsia="zh-CN"/>
        </w:rPr>
        <w:t>名</w:t>
      </w:r>
      <w:r>
        <w:rPr>
          <w:rFonts w:hint="eastAsia"/>
        </w:rPr>
        <w:t>并捺印</w:t>
      </w:r>
      <w:r>
        <w:rPr>
          <w:rFonts w:hint="eastAsia"/>
          <w:lang w:eastAsia="zh-CN"/>
        </w:rPr>
        <w:t>)</w:t>
      </w:r>
    </w:p>
    <w:p w14:paraId="0A571339">
      <w:pPr>
        <w:pStyle w:val="51"/>
        <w:bidi w:val="0"/>
        <w:rPr>
          <w:rFonts w:hint="eastAsia"/>
          <w:lang w:val="en-US" w:eastAsia="zh-CN"/>
        </w:rPr>
      </w:pPr>
      <w:r>
        <w:rPr>
          <w:rFonts w:hint="eastAsia"/>
        </w:rPr>
        <w:t>报价日期：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65E2F82A">
      <w:pPr>
        <w:pStyle w:val="48"/>
        <w:keepNext w:val="0"/>
        <w:keepLines w:val="0"/>
        <w:pageBreakBefore w:val="0"/>
        <w:widowControl w:val="0"/>
        <w:kinsoku/>
        <w:overflowPunct/>
        <w:autoSpaceDE/>
        <w:autoSpaceDN/>
        <w:bidi w:val="0"/>
        <w:adjustRightInd w:val="0"/>
        <w:snapToGrid w:val="0"/>
        <w:spacing w:line="440" w:lineRule="exact"/>
        <w:textAlignment w:val="auto"/>
        <w:rPr>
          <w:rFonts w:hint="eastAsia"/>
        </w:rPr>
      </w:pPr>
      <w:r>
        <w:rPr>
          <w:rFonts w:hint="eastAsia"/>
        </w:rPr>
        <w:t xml:space="preserve">                </w:t>
      </w:r>
    </w:p>
    <w:p w14:paraId="5BF6C801">
      <w:pPr>
        <w:pStyle w:val="48"/>
        <w:bidi w:val="0"/>
        <w:rPr>
          <w:rFonts w:hint="eastAsia"/>
        </w:rPr>
      </w:pPr>
    </w:p>
    <w:bookmarkEnd w:id="412"/>
    <w:bookmarkEnd w:id="413"/>
    <w:p w14:paraId="69946E75">
      <w:pPr>
        <w:pStyle w:val="54"/>
        <w:keepNext w:val="0"/>
        <w:keepLines w:val="0"/>
        <w:pageBreakBefore w:val="0"/>
        <w:kinsoku/>
        <w:overflowPunct/>
        <w:autoSpaceDE/>
        <w:autoSpaceDN/>
        <w:bidi w:val="0"/>
        <w:spacing w:line="520" w:lineRule="exact"/>
        <w:textAlignment w:val="auto"/>
        <w:rPr>
          <w:rFonts w:hint="eastAsia"/>
          <w:lang w:val="en-US" w:eastAsia="zh-CN"/>
        </w:rPr>
      </w:pPr>
      <w:bookmarkStart w:id="422" w:name="_Toc24888"/>
      <w:r>
        <w:rPr>
          <w:rFonts w:hint="eastAsia"/>
        </w:rPr>
        <w:br w:type="page"/>
      </w:r>
      <w:bookmarkEnd w:id="422"/>
      <w:bookmarkStart w:id="423" w:name="_Toc18196"/>
      <w:bookmarkStart w:id="424" w:name="_Toc26345"/>
      <w:bookmarkStart w:id="425" w:name="_Toc22998"/>
      <w:bookmarkStart w:id="426" w:name="_Toc11124"/>
      <w:bookmarkStart w:id="427" w:name="_Toc32351"/>
      <w:r>
        <w:rPr>
          <w:rFonts w:hint="eastAsia"/>
          <w:lang w:val="en-US" w:eastAsia="zh-CN"/>
        </w:rPr>
        <w:t>资格性审查</w:t>
      </w:r>
      <w:bookmarkEnd w:id="423"/>
      <w:r>
        <w:rPr>
          <w:rFonts w:hint="eastAsia"/>
          <w:lang w:val="en-US" w:eastAsia="zh-CN"/>
        </w:rPr>
        <w:t>内容</w:t>
      </w:r>
      <w:bookmarkEnd w:id="424"/>
      <w:bookmarkEnd w:id="425"/>
      <w:bookmarkEnd w:id="426"/>
      <w:bookmarkEnd w:id="427"/>
    </w:p>
    <w:p w14:paraId="1DA5AAB6">
      <w:pPr>
        <w:pStyle w:val="56"/>
        <w:keepNext w:val="0"/>
        <w:keepLines w:val="0"/>
        <w:pageBreakBefore w:val="0"/>
        <w:widowControl w:val="0"/>
        <w:numPr>
          <w:ilvl w:val="1"/>
          <w:numId w:val="18"/>
        </w:numPr>
        <w:kinsoku/>
        <w:overflowPunct/>
        <w:autoSpaceDE/>
        <w:autoSpaceDN/>
        <w:bidi w:val="0"/>
        <w:spacing w:line="520" w:lineRule="exact"/>
        <w:textAlignment w:val="auto"/>
        <w:rPr>
          <w:rFonts w:hint="eastAsia"/>
          <w:b/>
          <w:bCs/>
        </w:rPr>
      </w:pPr>
      <w:bookmarkStart w:id="428" w:name="_Toc10631"/>
      <w:bookmarkStart w:id="429" w:name="_Toc141"/>
      <w:bookmarkStart w:id="430" w:name="_Toc20678"/>
      <w:bookmarkStart w:id="431" w:name="_Toc32482"/>
      <w:r>
        <w:rPr>
          <w:rFonts w:hint="eastAsia"/>
          <w:b/>
          <w:bCs/>
        </w:rPr>
        <w:t>供应商应当提供的资格证明材料</w:t>
      </w:r>
      <w:r>
        <w:rPr>
          <w:rFonts w:hint="eastAsia"/>
          <w:b/>
          <w:bCs/>
          <w:lang w:val="en-US" w:eastAsia="zh-CN"/>
        </w:rPr>
        <w:t>及其他类似效力要求的相关证明材料</w:t>
      </w:r>
    </w:p>
    <w:bookmarkEnd w:id="428"/>
    <w:bookmarkEnd w:id="429"/>
    <w:bookmarkEnd w:id="430"/>
    <w:p w14:paraId="38D3C933">
      <w:pPr>
        <w:pStyle w:val="38"/>
        <w:keepNext w:val="0"/>
        <w:keepLines w:val="0"/>
        <w:pageBreakBefore w:val="0"/>
        <w:widowControl w:val="0"/>
        <w:numPr>
          <w:ilvl w:val="1"/>
          <w:numId w:val="19"/>
        </w:numPr>
        <w:kinsoku/>
        <w:overflowPunct/>
        <w:autoSpaceDE/>
        <w:autoSpaceDN/>
        <w:bidi w:val="0"/>
        <w:spacing w:line="520" w:lineRule="exact"/>
        <w:textAlignment w:val="auto"/>
        <w:rPr>
          <w:rFonts w:hint="eastAsia"/>
          <w:b/>
          <w:bCs/>
        </w:rPr>
      </w:pPr>
      <w:r>
        <w:rPr>
          <w:rFonts w:hint="eastAsia"/>
          <w:b/>
          <w:bCs/>
          <w:lang w:val="en-US" w:eastAsia="zh-CN"/>
        </w:rPr>
        <w:t>供应商</w:t>
      </w:r>
      <w:r>
        <w:rPr>
          <w:rFonts w:hint="eastAsia"/>
          <w:b/>
          <w:bCs/>
        </w:rPr>
        <w:t>具有独立承担民事责任的能力</w:t>
      </w:r>
      <w:r>
        <w:rPr>
          <w:rFonts w:hint="eastAsia"/>
          <w:b/>
          <w:bCs/>
          <w:lang w:val="en-US" w:eastAsia="zh-CN"/>
        </w:rPr>
        <w:t>的证明材料；</w:t>
      </w:r>
    </w:p>
    <w:p w14:paraId="5C0DE8E6">
      <w:pPr>
        <w:pStyle w:val="51"/>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供应商提供“营业执照”副本复印件</w:t>
      </w:r>
      <w:r>
        <w:rPr>
          <w:rFonts w:hint="eastAsia"/>
          <w:lang w:eastAsia="zh-CN"/>
        </w:rPr>
        <w:t>。</w:t>
      </w:r>
    </w:p>
    <w:p w14:paraId="2ACAE20B">
      <w:pPr>
        <w:pStyle w:val="53"/>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注：①发证机关有年检要求的，应按规定通过年检；②在有效期内；③复印件加盖供应商公章</w:t>
      </w:r>
      <w:r>
        <w:t>。</w:t>
      </w:r>
    </w:p>
    <w:p w14:paraId="49BD5E7C">
      <w:pPr>
        <w:pStyle w:val="38"/>
        <w:keepNext w:val="0"/>
        <w:keepLines w:val="0"/>
        <w:pageBreakBefore w:val="0"/>
        <w:widowControl w:val="0"/>
        <w:numPr>
          <w:ilvl w:val="1"/>
          <w:numId w:val="19"/>
        </w:numPr>
        <w:kinsoku/>
        <w:overflowPunct/>
        <w:autoSpaceDE/>
        <w:autoSpaceDN/>
        <w:bidi w:val="0"/>
        <w:spacing w:line="520" w:lineRule="exact"/>
        <w:textAlignment w:val="auto"/>
        <w:rPr>
          <w:rFonts w:hint="eastAsia"/>
          <w:b/>
          <w:bCs/>
        </w:rPr>
      </w:pPr>
      <w:r>
        <w:rPr>
          <w:rFonts w:hint="eastAsia"/>
          <w:b/>
          <w:bCs/>
          <w:lang w:val="en-US" w:eastAsia="zh-CN"/>
        </w:rPr>
        <w:t>供应商具有良好的商业信誉和健全的财务会计制度的证明材料；</w:t>
      </w:r>
    </w:p>
    <w:p w14:paraId="09ED0395">
      <w:pPr>
        <w:pStyle w:val="41"/>
        <w:keepNext w:val="0"/>
        <w:keepLines w:val="0"/>
        <w:pageBreakBefore w:val="0"/>
        <w:widowControl w:val="0"/>
        <w:numPr>
          <w:ilvl w:val="2"/>
          <w:numId w:val="19"/>
        </w:numPr>
        <w:kinsoku/>
        <w:overflowPunct/>
        <w:autoSpaceDE/>
        <w:autoSpaceDN/>
        <w:bidi w:val="0"/>
        <w:spacing w:line="520" w:lineRule="exact"/>
        <w:textAlignment w:val="auto"/>
        <w:rPr>
          <w:rFonts w:hint="eastAsia"/>
          <w:lang w:val="en-US" w:eastAsia="zh-CN"/>
        </w:rPr>
      </w:pPr>
      <w:r>
        <w:rPr>
          <w:rFonts w:hint="eastAsia"/>
          <w:lang w:val="en-US" w:eastAsia="zh-CN"/>
        </w:rPr>
        <w:t>供应商</w:t>
      </w:r>
      <w:r>
        <w:rPr>
          <w:rFonts w:hint="eastAsia"/>
        </w:rPr>
        <w:t>具</w:t>
      </w:r>
      <w:r>
        <w:rPr>
          <w:rFonts w:hint="eastAsia"/>
          <w:lang w:val="en-US" w:eastAsia="zh-CN"/>
        </w:rPr>
        <w:t>有</w:t>
      </w:r>
      <w:r>
        <w:rPr>
          <w:rFonts w:hint="eastAsia"/>
        </w:rPr>
        <w:t>良好商业信誉的证明材料</w:t>
      </w:r>
      <w:r>
        <w:rPr>
          <w:rFonts w:hint="eastAsia"/>
          <w:lang w:eastAsia="zh-CN"/>
        </w:rPr>
        <w:t>；</w:t>
      </w:r>
    </w:p>
    <w:p w14:paraId="434FD37E">
      <w:pPr>
        <w:pStyle w:val="51"/>
        <w:keepNext w:val="0"/>
        <w:keepLines w:val="0"/>
        <w:pageBreakBefore w:val="0"/>
        <w:widowControl w:val="0"/>
        <w:kinsoku/>
        <w:overflowPunct/>
        <w:autoSpaceDE/>
        <w:autoSpaceDN/>
        <w:bidi w:val="0"/>
        <w:spacing w:line="520" w:lineRule="exact"/>
        <w:textAlignment w:val="auto"/>
        <w:rPr>
          <w:rFonts w:hint="eastAsia"/>
          <w:lang w:eastAsia="zh-CN"/>
        </w:rPr>
      </w:pPr>
      <w:r>
        <w:rPr>
          <w:rFonts w:hint="eastAsia"/>
          <w:lang w:val="en-US" w:eastAsia="zh-CN"/>
        </w:rPr>
        <w:t>提供</w:t>
      </w:r>
      <w:r>
        <w:rPr>
          <w:rFonts w:hint="eastAsia"/>
        </w:rPr>
        <w:t>具</w:t>
      </w:r>
      <w:r>
        <w:rPr>
          <w:rFonts w:hint="eastAsia"/>
          <w:lang w:val="en-US" w:eastAsia="zh-CN"/>
        </w:rPr>
        <w:t>有</w:t>
      </w:r>
      <w:r>
        <w:rPr>
          <w:rFonts w:hint="eastAsia"/>
        </w:rPr>
        <w:t>良好</w:t>
      </w:r>
      <w:r>
        <w:rPr>
          <w:rFonts w:hint="eastAsia"/>
          <w:lang w:val="en-US" w:eastAsia="zh-CN"/>
        </w:rPr>
        <w:t>的</w:t>
      </w:r>
      <w:r>
        <w:rPr>
          <w:rFonts w:hint="eastAsia"/>
        </w:rPr>
        <w:t>商业信誉</w:t>
      </w:r>
      <w:r>
        <w:rPr>
          <w:rFonts w:hint="eastAsia"/>
          <w:lang w:val="en-US" w:eastAsia="zh-CN"/>
        </w:rPr>
        <w:t>的</w:t>
      </w:r>
      <w:r>
        <w:rPr>
          <w:rFonts w:hint="eastAsia"/>
        </w:rPr>
        <w:t>承诺函</w:t>
      </w:r>
      <w:r>
        <w:rPr>
          <w:rFonts w:hint="eastAsia"/>
          <w:lang w:eastAsia="zh-CN"/>
        </w:rPr>
        <w:t>。</w:t>
      </w:r>
    </w:p>
    <w:p w14:paraId="1AE158B3">
      <w:pPr>
        <w:pStyle w:val="51"/>
        <w:keepNext w:val="0"/>
        <w:keepLines w:val="0"/>
        <w:pageBreakBefore w:val="0"/>
        <w:widowControl w:val="0"/>
        <w:kinsoku/>
        <w:overflowPunct/>
        <w:autoSpaceDE/>
        <w:autoSpaceDN/>
        <w:bidi w:val="0"/>
        <w:spacing w:line="520" w:lineRule="exact"/>
        <w:textAlignment w:val="auto"/>
        <w:rPr>
          <w:rFonts w:hint="eastAsia"/>
          <w:b/>
          <w:bCs/>
          <w:highlight w:val="none"/>
          <w:lang w:val="en-US" w:eastAsia="zh-CN"/>
        </w:rPr>
      </w:pPr>
      <w:r>
        <w:rPr>
          <w:rFonts w:hint="eastAsia"/>
          <w:b/>
          <w:bCs/>
          <w:highlight w:val="none"/>
          <w:lang w:val="en-US" w:eastAsia="zh-CN"/>
        </w:rPr>
        <w:t>注：</w:t>
      </w:r>
      <w:r>
        <w:rPr>
          <w:rFonts w:hint="eastAsia" w:cs="宋体" w:asciiTheme="minorEastAsia" w:hAnsiTheme="minorEastAsia" w:eastAsiaTheme="minorEastAsia"/>
          <w:b/>
          <w:bCs/>
          <w:highlight w:val="none"/>
          <w:lang w:val="en-US" w:eastAsia="zh-CN"/>
        </w:rPr>
        <w:t>承诺函</w:t>
      </w:r>
      <w:r>
        <w:rPr>
          <w:rFonts w:hint="eastAsia"/>
          <w:b/>
          <w:bCs w:val="0"/>
          <w:color w:val="auto"/>
          <w:highlight w:val="none"/>
        </w:rPr>
        <w:t>格式自拟，或参照《承诺及声明函》的格式提供</w:t>
      </w:r>
      <w:r>
        <w:rPr>
          <w:rFonts w:hint="eastAsia"/>
          <w:b/>
          <w:bCs/>
          <w:highlight w:val="none"/>
          <w:lang w:val="en-US" w:eastAsia="zh-CN"/>
        </w:rPr>
        <w:t>。</w:t>
      </w:r>
    </w:p>
    <w:p w14:paraId="4F35BF30">
      <w:pPr>
        <w:pStyle w:val="51"/>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2.供应商具有健全的财务会计制度的证明材料；</w:t>
      </w:r>
    </w:p>
    <w:p w14:paraId="14B4D35A">
      <w:pPr>
        <w:pStyle w:val="51"/>
        <w:keepNext w:val="0"/>
        <w:keepLines w:val="0"/>
        <w:pageBreakBefore w:val="0"/>
        <w:widowControl w:val="0"/>
        <w:kinsoku/>
        <w:overflowPunct/>
        <w:autoSpaceDE/>
        <w:autoSpaceDN/>
        <w:bidi w:val="0"/>
        <w:spacing w:line="520" w:lineRule="exact"/>
        <w:textAlignment w:val="auto"/>
        <w:rPr>
          <w:rFonts w:hint="default"/>
          <w:lang w:val="en-US" w:eastAsia="zh-CN"/>
        </w:rPr>
      </w:pPr>
      <w:r>
        <w:rPr>
          <w:rFonts w:hint="eastAsia"/>
          <w:lang w:val="en-US" w:eastAsia="zh-CN"/>
        </w:rPr>
        <w:t>(1)供应商提供2024年度或2025年度经过会计师事务所审计的财务报告复印件(经审计的有效财务报告应包括报告及报告中所附的完整内容，并由注册会计师签名、盖章以及会计师事务所盖章)；</w:t>
      </w:r>
    </w:p>
    <w:p w14:paraId="5ABB587D">
      <w:pPr>
        <w:pStyle w:val="51"/>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(2)供应商提供2024年度或2025年度供应商内部的财务报表复印件(至少包含资产负债表)；</w:t>
      </w:r>
    </w:p>
    <w:p w14:paraId="14C8B1CC">
      <w:pPr>
        <w:pStyle w:val="51"/>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(3)供应商提供响应文件递交截止日前一年内银行为其出具的资信证明复印件；</w:t>
      </w:r>
    </w:p>
    <w:p w14:paraId="3FDA80FB">
      <w:pPr>
        <w:pStyle w:val="51"/>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(4)供应商注册时间截至响应文件递交截止日不足一年的，可提供公司章程复印件；</w:t>
      </w:r>
    </w:p>
    <w:p w14:paraId="3614EC51">
      <w:pPr>
        <w:pStyle w:val="51"/>
        <w:keepNext w:val="0"/>
        <w:keepLines w:val="0"/>
        <w:pageBreakBefore w:val="0"/>
        <w:widowControl w:val="0"/>
        <w:kinsoku/>
        <w:overflowPunct/>
        <w:autoSpaceDE/>
        <w:autoSpaceDN/>
        <w:bidi w:val="0"/>
        <w:spacing w:line="520" w:lineRule="exact"/>
        <w:textAlignment w:val="auto"/>
        <w:rPr>
          <w:rFonts w:hint="eastAsia" w:eastAsia="宋体"/>
          <w:lang w:val="en-US" w:eastAsia="zh-CN"/>
        </w:rPr>
      </w:pPr>
      <w:r>
        <w:rPr>
          <w:rFonts w:hint="eastAsia"/>
          <w:lang w:val="en-US" w:eastAsia="zh-CN"/>
        </w:rPr>
        <w:t>(5)供应商提供</w:t>
      </w:r>
      <w:r>
        <w:rPr>
          <w:rFonts w:hint="eastAsia"/>
        </w:rPr>
        <w:t>具</w:t>
      </w:r>
      <w:r>
        <w:rPr>
          <w:rFonts w:hint="eastAsia"/>
          <w:lang w:val="en-US" w:eastAsia="zh-CN"/>
        </w:rPr>
        <w:t>有健全的财务会计制度的</w:t>
      </w:r>
      <w:r>
        <w:rPr>
          <w:rFonts w:hint="eastAsia"/>
        </w:rPr>
        <w:t>承诺函</w:t>
      </w:r>
      <w:r>
        <w:rPr>
          <w:rFonts w:hint="eastAsia"/>
          <w:lang w:eastAsia="zh-CN"/>
        </w:rPr>
        <w:t>。</w:t>
      </w:r>
    </w:p>
    <w:p w14:paraId="76893D02">
      <w:pPr>
        <w:pStyle w:val="53"/>
        <w:keepNext w:val="0"/>
        <w:keepLines w:val="0"/>
        <w:pageBreakBefore w:val="0"/>
        <w:widowControl w:val="0"/>
        <w:kinsoku/>
        <w:overflowPunct/>
        <w:autoSpaceDE/>
        <w:autoSpaceDN/>
        <w:bidi w:val="0"/>
        <w:spacing w:line="520" w:lineRule="exact"/>
        <w:textAlignment w:val="auto"/>
        <w:rPr>
          <w:rFonts w:hint="eastAsia" w:eastAsia="宋体"/>
          <w:lang w:val="en-US" w:eastAsia="zh-CN"/>
        </w:rPr>
      </w:pPr>
      <w:r>
        <w:rPr>
          <w:rFonts w:hint="eastAsia"/>
          <w:b/>
          <w:bCs/>
          <w:lang w:val="en-US" w:eastAsia="zh-CN"/>
        </w:rPr>
        <w:t>注：①具有健全的财务会计制度的证明材料中第(1)-(5)项具有同等的效力，供应商可根</w:t>
      </w:r>
      <w:r>
        <w:rPr>
          <w:rFonts w:hint="eastAsia"/>
          <w:b/>
          <w:bCs/>
          <w:highlight w:val="none"/>
          <w:lang w:val="en-US" w:eastAsia="zh-CN"/>
        </w:rPr>
        <w:t>据自身实际情况选择提供其中任意一项。②</w:t>
      </w:r>
      <w:r>
        <w:rPr>
          <w:rFonts w:hint="eastAsia" w:cs="宋体" w:asciiTheme="minorEastAsia" w:hAnsiTheme="minorEastAsia" w:eastAsiaTheme="minorEastAsia"/>
          <w:b/>
          <w:bCs/>
          <w:highlight w:val="none"/>
          <w:lang w:val="en-US" w:eastAsia="zh-CN"/>
        </w:rPr>
        <w:t>承诺函</w:t>
      </w:r>
      <w:r>
        <w:rPr>
          <w:rFonts w:hint="eastAsia"/>
          <w:b/>
          <w:bCs w:val="0"/>
          <w:color w:val="auto"/>
          <w:highlight w:val="none"/>
        </w:rPr>
        <w:t>格式自拟，或参照《承诺及声明函》的格式提供</w:t>
      </w:r>
      <w:r>
        <w:rPr>
          <w:rFonts w:hint="eastAsia"/>
          <w:b/>
          <w:bCs w:val="0"/>
          <w:color w:val="auto"/>
          <w:highlight w:val="none"/>
          <w:lang w:eastAsia="zh-CN"/>
        </w:rPr>
        <w:t>。</w:t>
      </w:r>
    </w:p>
    <w:p w14:paraId="07E03B1A">
      <w:pPr>
        <w:pStyle w:val="38"/>
        <w:keepNext w:val="0"/>
        <w:keepLines w:val="0"/>
        <w:pageBreakBefore w:val="0"/>
        <w:widowControl w:val="0"/>
        <w:numPr>
          <w:ilvl w:val="1"/>
          <w:numId w:val="19"/>
        </w:numPr>
        <w:kinsoku/>
        <w:overflowPunct/>
        <w:autoSpaceDE/>
        <w:autoSpaceDN/>
        <w:bidi w:val="0"/>
        <w:spacing w:line="520" w:lineRule="exact"/>
        <w:textAlignment w:val="auto"/>
        <w:rPr>
          <w:rFonts w:hint="eastAsia"/>
          <w:b/>
          <w:bCs/>
        </w:rPr>
      </w:pPr>
      <w:r>
        <w:rPr>
          <w:rFonts w:hint="eastAsia"/>
          <w:b/>
          <w:bCs/>
          <w:lang w:val="en-US" w:eastAsia="zh-CN"/>
        </w:rPr>
        <w:t>供应商具有</w:t>
      </w:r>
      <w:r>
        <w:rPr>
          <w:rFonts w:hint="eastAsia"/>
          <w:b/>
          <w:bCs/>
        </w:rPr>
        <w:t>履行合同所必需的设备和专业技术能力</w:t>
      </w:r>
      <w:r>
        <w:rPr>
          <w:rFonts w:hint="eastAsia"/>
          <w:b/>
          <w:bCs/>
          <w:lang w:val="en-US" w:eastAsia="zh-CN"/>
        </w:rPr>
        <w:t>证明材料；</w:t>
      </w:r>
    </w:p>
    <w:p w14:paraId="4CB5E6A1">
      <w:pPr>
        <w:pStyle w:val="41"/>
        <w:keepNext w:val="0"/>
        <w:keepLines w:val="0"/>
        <w:pageBreakBefore w:val="0"/>
        <w:widowControl w:val="0"/>
        <w:numPr>
          <w:ilvl w:val="2"/>
          <w:numId w:val="0"/>
        </w:numPr>
        <w:kinsoku/>
        <w:overflowPunct/>
        <w:autoSpaceDE/>
        <w:autoSpaceDN/>
        <w:bidi w:val="0"/>
        <w:spacing w:line="520" w:lineRule="exact"/>
        <w:ind w:leftChars="200"/>
        <w:textAlignment w:val="auto"/>
        <w:rPr>
          <w:rFonts w:hint="eastAsia"/>
          <w:lang w:val="en-US" w:eastAsia="zh-CN"/>
        </w:rPr>
      </w:pPr>
      <w:r>
        <w:rPr>
          <w:rFonts w:hint="eastAsia"/>
          <w:lang w:val="en-US" w:eastAsia="zh-CN"/>
        </w:rPr>
        <w:t>提供具有履行合同所必需的设备和专业技术能力的承诺函。</w:t>
      </w:r>
    </w:p>
    <w:p w14:paraId="2220090B">
      <w:pPr>
        <w:pStyle w:val="53"/>
        <w:keepNext w:val="0"/>
        <w:keepLines w:val="0"/>
        <w:pageBreakBefore w:val="0"/>
        <w:widowControl w:val="0"/>
        <w:kinsoku/>
        <w:overflowPunct/>
        <w:autoSpaceDE/>
        <w:autoSpaceDN/>
        <w:bidi w:val="0"/>
        <w:spacing w:line="520" w:lineRule="exact"/>
        <w:textAlignment w:val="auto"/>
        <w:rPr>
          <w:rFonts w:hint="eastAsia"/>
          <w:highlight w:val="none"/>
          <w:lang w:val="en-US" w:eastAsia="zh-CN"/>
        </w:rPr>
      </w:pPr>
      <w:r>
        <w:rPr>
          <w:rFonts w:hint="eastAsia"/>
          <w:highlight w:val="none"/>
          <w:lang w:val="en-US" w:eastAsia="zh-CN"/>
        </w:rPr>
        <w:t>注：</w:t>
      </w:r>
      <w:r>
        <w:rPr>
          <w:rFonts w:hint="eastAsia" w:cs="宋体" w:asciiTheme="minorEastAsia" w:hAnsiTheme="minorEastAsia" w:eastAsiaTheme="minorEastAsia"/>
          <w:b/>
          <w:bCs/>
          <w:highlight w:val="none"/>
          <w:lang w:val="en-US" w:eastAsia="zh-CN"/>
        </w:rPr>
        <w:t>承诺函</w:t>
      </w:r>
      <w:r>
        <w:rPr>
          <w:rFonts w:hint="eastAsia"/>
          <w:b/>
          <w:bCs w:val="0"/>
          <w:color w:val="auto"/>
          <w:highlight w:val="none"/>
        </w:rPr>
        <w:t>格式自拟，或参照《承诺及声明函》的格式提供</w:t>
      </w:r>
      <w:r>
        <w:rPr>
          <w:rFonts w:hint="eastAsia"/>
          <w:highlight w:val="none"/>
          <w:lang w:val="en-US" w:eastAsia="zh-CN"/>
        </w:rPr>
        <w:t>。</w:t>
      </w:r>
    </w:p>
    <w:p w14:paraId="1C8D78C1">
      <w:pPr>
        <w:pStyle w:val="38"/>
        <w:keepNext w:val="0"/>
        <w:keepLines w:val="0"/>
        <w:pageBreakBefore w:val="0"/>
        <w:widowControl w:val="0"/>
        <w:numPr>
          <w:ilvl w:val="1"/>
          <w:numId w:val="19"/>
        </w:numPr>
        <w:kinsoku/>
        <w:overflowPunct/>
        <w:autoSpaceDE/>
        <w:autoSpaceDN/>
        <w:bidi w:val="0"/>
        <w:spacing w:line="520" w:lineRule="exact"/>
        <w:textAlignment w:val="auto"/>
        <w:rPr>
          <w:rFonts w:hint="eastAsia"/>
          <w:b/>
          <w:bCs/>
          <w:highlight w:val="none"/>
        </w:rPr>
      </w:pPr>
      <w:r>
        <w:rPr>
          <w:rFonts w:hint="eastAsia"/>
          <w:b/>
          <w:bCs/>
          <w:highlight w:val="none"/>
          <w:lang w:val="en-US" w:eastAsia="zh-CN"/>
        </w:rPr>
        <w:t>供应商</w:t>
      </w:r>
      <w:r>
        <w:rPr>
          <w:rFonts w:hint="eastAsia"/>
          <w:b/>
          <w:bCs/>
          <w:highlight w:val="none"/>
        </w:rPr>
        <w:t>有依法缴纳税收和社会保障资金的良好记录</w:t>
      </w:r>
      <w:r>
        <w:rPr>
          <w:rFonts w:hint="eastAsia"/>
          <w:b/>
          <w:bCs/>
          <w:highlight w:val="none"/>
          <w:lang w:val="en-US" w:eastAsia="zh-CN"/>
        </w:rPr>
        <w:t>的证明材料；</w:t>
      </w:r>
    </w:p>
    <w:p w14:paraId="53FF72DD">
      <w:pPr>
        <w:pStyle w:val="51"/>
        <w:keepNext w:val="0"/>
        <w:keepLines w:val="0"/>
        <w:pageBreakBefore w:val="0"/>
        <w:kinsoku/>
        <w:overflowPunct/>
        <w:autoSpaceDE/>
        <w:autoSpaceDN/>
        <w:bidi w:val="0"/>
        <w:spacing w:line="520" w:lineRule="exact"/>
        <w:textAlignment w:val="auto"/>
        <w:rPr>
          <w:rFonts w:hint="eastAsia" w:ascii="宋体" w:hAnsi="宋体" w:eastAsia="宋体"/>
          <w:highlight w:val="none"/>
        </w:rPr>
      </w:pPr>
      <w:r>
        <w:rPr>
          <w:rFonts w:hint="eastAsia" w:ascii="宋体" w:hAnsi="宋体" w:eastAsia="宋体"/>
          <w:highlight w:val="none"/>
        </w:rPr>
        <w:t>提供</w:t>
      </w:r>
      <w:r>
        <w:rPr>
          <w:rFonts w:hint="eastAsia" w:ascii="宋体" w:hAnsi="宋体" w:eastAsia="宋体"/>
          <w:highlight w:val="none"/>
          <w:lang w:val="en-US" w:eastAsia="zh-CN"/>
        </w:rPr>
        <w:t>有</w:t>
      </w:r>
      <w:r>
        <w:rPr>
          <w:rFonts w:hint="eastAsia" w:ascii="宋体" w:hAnsi="宋体" w:eastAsia="宋体"/>
          <w:highlight w:val="none"/>
          <w:lang w:val="en-US"/>
        </w:rPr>
        <w:t>依法缴纳税收和社会保障资金的良好记录</w:t>
      </w:r>
      <w:r>
        <w:rPr>
          <w:rFonts w:hint="eastAsia" w:ascii="宋体" w:hAnsi="宋体" w:eastAsia="宋体"/>
          <w:highlight w:val="none"/>
        </w:rPr>
        <w:t>的承诺函</w:t>
      </w:r>
      <w:r>
        <w:rPr>
          <w:rFonts w:hint="eastAsia" w:ascii="宋体" w:hAnsi="宋体" w:eastAsia="宋体"/>
          <w:highlight w:val="none"/>
          <w:lang w:eastAsia="zh-CN"/>
        </w:rPr>
        <w:t>。</w:t>
      </w:r>
    </w:p>
    <w:p w14:paraId="4E46DD57">
      <w:pPr>
        <w:pStyle w:val="53"/>
        <w:keepNext w:val="0"/>
        <w:keepLines w:val="0"/>
        <w:pageBreakBefore w:val="0"/>
        <w:widowControl w:val="0"/>
        <w:kinsoku/>
        <w:overflowPunct/>
        <w:autoSpaceDE/>
        <w:autoSpaceDN/>
        <w:bidi w:val="0"/>
        <w:spacing w:line="520" w:lineRule="exact"/>
        <w:textAlignment w:val="auto"/>
        <w:rPr>
          <w:rFonts w:hint="eastAsia"/>
          <w:highlight w:val="none"/>
        </w:rPr>
      </w:pPr>
      <w:r>
        <w:rPr>
          <w:rFonts w:hint="eastAsia"/>
          <w:highlight w:val="none"/>
          <w:lang w:val="en-US" w:eastAsia="zh-CN"/>
        </w:rPr>
        <w:t>注：</w:t>
      </w:r>
      <w:r>
        <w:rPr>
          <w:rFonts w:hint="eastAsia" w:cs="宋体" w:asciiTheme="minorEastAsia" w:hAnsiTheme="minorEastAsia" w:eastAsiaTheme="minorEastAsia"/>
          <w:b/>
          <w:bCs/>
          <w:highlight w:val="none"/>
          <w:lang w:val="en-US" w:eastAsia="zh-CN"/>
        </w:rPr>
        <w:t>承诺函</w:t>
      </w:r>
      <w:r>
        <w:rPr>
          <w:rFonts w:hint="eastAsia"/>
          <w:b/>
          <w:bCs w:val="0"/>
          <w:color w:val="auto"/>
          <w:highlight w:val="none"/>
        </w:rPr>
        <w:t>格式自拟，或参照《承诺及声明函》的格式提供</w:t>
      </w:r>
      <w:r>
        <w:rPr>
          <w:rFonts w:hint="eastAsia"/>
          <w:highlight w:val="none"/>
          <w:lang w:val="en-US" w:eastAsia="zh-CN"/>
        </w:rPr>
        <w:t>。</w:t>
      </w:r>
    </w:p>
    <w:p w14:paraId="01DB519D">
      <w:pPr>
        <w:pStyle w:val="38"/>
        <w:keepNext w:val="0"/>
        <w:keepLines w:val="0"/>
        <w:pageBreakBefore w:val="0"/>
        <w:widowControl w:val="0"/>
        <w:numPr>
          <w:ilvl w:val="1"/>
          <w:numId w:val="19"/>
        </w:numPr>
        <w:kinsoku/>
        <w:overflowPunct/>
        <w:autoSpaceDE/>
        <w:autoSpaceDN/>
        <w:bidi w:val="0"/>
        <w:spacing w:line="520" w:lineRule="exact"/>
        <w:textAlignment w:val="auto"/>
        <w:rPr>
          <w:rFonts w:hint="eastAsia"/>
          <w:b/>
          <w:bCs/>
          <w:lang w:eastAsia="zh-CN"/>
        </w:rPr>
      </w:pPr>
      <w:r>
        <w:rPr>
          <w:rFonts w:hint="eastAsia"/>
          <w:b/>
          <w:bCs/>
          <w:lang w:val="en-US" w:eastAsia="zh-CN"/>
        </w:rPr>
        <w:t>供应商参加采购活动前三年内，在经营活动中没有重大违法记录的证明材料；</w:t>
      </w:r>
    </w:p>
    <w:p w14:paraId="7558E6AE">
      <w:pPr>
        <w:pStyle w:val="51"/>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提供参加本次采购活动前三年内，在经营活动中没有重大违法记录的书面声明(成立不足三年的，从成立之日起计算)。</w:t>
      </w:r>
    </w:p>
    <w:p w14:paraId="25714AD9">
      <w:pPr>
        <w:pStyle w:val="53"/>
        <w:keepNext w:val="0"/>
        <w:keepLines w:val="0"/>
        <w:pageBreakBefore w:val="0"/>
        <w:kinsoku/>
        <w:overflowPunct/>
        <w:autoSpaceDE/>
        <w:autoSpaceDN/>
        <w:bidi w:val="0"/>
        <w:spacing w:line="520" w:lineRule="exact"/>
        <w:textAlignment w:val="auto"/>
        <w:rPr>
          <w:rFonts w:hint="eastAsia"/>
          <w:highlight w:val="none"/>
          <w:lang w:val="en-US" w:eastAsia="zh-CN"/>
        </w:rPr>
      </w:pPr>
      <w:r>
        <w:rPr>
          <w:rFonts w:hint="eastAsia"/>
          <w:highlight w:val="none"/>
          <w:lang w:val="en-US" w:eastAsia="zh-CN"/>
        </w:rPr>
        <w:t>注：声明</w:t>
      </w:r>
      <w:r>
        <w:rPr>
          <w:rFonts w:hint="eastAsia" w:cs="宋体" w:asciiTheme="minorEastAsia" w:hAnsiTheme="minorEastAsia" w:eastAsiaTheme="minorEastAsia"/>
          <w:b/>
          <w:bCs/>
          <w:highlight w:val="none"/>
          <w:lang w:val="en-US" w:eastAsia="zh-CN"/>
        </w:rPr>
        <w:t>函</w:t>
      </w:r>
      <w:r>
        <w:rPr>
          <w:rFonts w:hint="eastAsia"/>
          <w:b/>
          <w:bCs w:val="0"/>
          <w:color w:val="auto"/>
          <w:highlight w:val="none"/>
        </w:rPr>
        <w:t>格式自拟，或参照《承诺及声明函》的格式提供</w:t>
      </w:r>
      <w:r>
        <w:rPr>
          <w:rFonts w:hint="eastAsia"/>
          <w:highlight w:val="none"/>
          <w:lang w:val="en-US" w:eastAsia="zh-CN"/>
        </w:rPr>
        <w:t>。</w:t>
      </w:r>
    </w:p>
    <w:p w14:paraId="45C8B6A3">
      <w:pPr>
        <w:pStyle w:val="38"/>
        <w:keepNext w:val="0"/>
        <w:keepLines w:val="0"/>
        <w:pageBreakBefore w:val="0"/>
        <w:widowControl w:val="0"/>
        <w:numPr>
          <w:ilvl w:val="1"/>
          <w:numId w:val="1"/>
        </w:numPr>
        <w:kinsoku/>
        <w:wordWrap w:val="0"/>
        <w:overflowPunct/>
        <w:topLinePunct/>
        <w:autoSpaceDE/>
        <w:autoSpaceDN/>
        <w:bidi w:val="0"/>
        <w:adjustRightInd/>
        <w:snapToGrid/>
        <w:spacing w:line="520" w:lineRule="exact"/>
        <w:textAlignment w:val="auto"/>
        <w:rPr>
          <w:rFonts w:hint="eastAsia"/>
          <w:b/>
          <w:bCs/>
          <w:highlight w:val="none"/>
        </w:rPr>
      </w:pPr>
      <w:r>
        <w:rPr>
          <w:rFonts w:hint="eastAsia"/>
          <w:b/>
          <w:bCs/>
          <w:highlight w:val="none"/>
          <w:lang w:val="en-US" w:eastAsia="zh-CN"/>
        </w:rPr>
        <w:t>供应商</w:t>
      </w:r>
      <w:r>
        <w:rPr>
          <w:rFonts w:hint="eastAsia"/>
          <w:b/>
          <w:bCs/>
          <w:highlight w:val="none"/>
          <w:lang w:val="zh-CN" w:eastAsia="zh-CN"/>
        </w:rPr>
        <w:t>及其现任法定代表人、主要负责人不得具有行贿犯罪记录</w:t>
      </w:r>
      <w:r>
        <w:rPr>
          <w:rFonts w:hint="eastAsia"/>
          <w:b/>
          <w:bCs/>
          <w:highlight w:val="none"/>
          <w:lang w:val="en-US" w:eastAsia="zh-CN"/>
        </w:rPr>
        <w:t>的证明材料</w:t>
      </w:r>
      <w:r>
        <w:rPr>
          <w:rFonts w:hint="eastAsia"/>
          <w:b/>
          <w:bCs/>
          <w:highlight w:val="none"/>
          <w:lang w:val="zh-CN" w:eastAsia="zh-CN"/>
        </w:rPr>
        <w:t>；</w:t>
      </w:r>
    </w:p>
    <w:p w14:paraId="002CBFAC">
      <w:pPr>
        <w:pStyle w:val="53"/>
        <w:keepNext w:val="0"/>
        <w:keepLines w:val="0"/>
        <w:pageBreakBefore w:val="0"/>
        <w:widowControl w:val="0"/>
        <w:kinsoku/>
        <w:overflowPunct/>
        <w:autoSpaceDE/>
        <w:autoSpaceDN/>
        <w:bidi w:val="0"/>
        <w:spacing w:line="520" w:lineRule="exact"/>
        <w:jc w:val="both"/>
        <w:textAlignment w:val="auto"/>
        <w:rPr>
          <w:rFonts w:hint="eastAsia"/>
          <w:b w:val="0"/>
          <w:bCs/>
          <w:highlight w:val="none"/>
          <w:lang w:val="en-US" w:eastAsia="zh-CN"/>
        </w:rPr>
      </w:pPr>
      <w:r>
        <w:rPr>
          <w:rFonts w:hint="eastAsia"/>
          <w:b w:val="0"/>
          <w:bCs/>
          <w:highlight w:val="none"/>
          <w:lang w:val="en-US" w:eastAsia="zh-CN"/>
        </w:rPr>
        <w:t>1.在响应文件中作出供应商及其现任法定代表人(姓名和身份证号码)、主要负责人(姓名和身份证号码)10年内(</w:t>
      </w:r>
      <w:r>
        <w:rPr>
          <w:rFonts w:hint="eastAsia"/>
          <w:b w:val="0"/>
          <w:bCs/>
          <w:highlight w:val="none"/>
          <w:lang w:val="zh-CN" w:eastAsia="zh-CN"/>
        </w:rPr>
        <w:t>若</w:t>
      </w:r>
      <w:r>
        <w:rPr>
          <w:rFonts w:hint="eastAsia"/>
          <w:b w:val="0"/>
          <w:bCs/>
          <w:highlight w:val="none"/>
          <w:lang w:val="en-US" w:eastAsia="zh-CN"/>
        </w:rPr>
        <w:t>供应商</w:t>
      </w:r>
      <w:r>
        <w:rPr>
          <w:rFonts w:hint="eastAsia"/>
          <w:b w:val="0"/>
          <w:bCs/>
          <w:highlight w:val="none"/>
          <w:lang w:val="zh-CN" w:eastAsia="zh-CN"/>
        </w:rPr>
        <w:t>成立不足10年的，</w:t>
      </w:r>
      <w:r>
        <w:rPr>
          <w:rFonts w:hint="eastAsia"/>
          <w:b w:val="0"/>
          <w:bCs/>
          <w:highlight w:val="none"/>
          <w:lang w:val="en-US" w:eastAsia="zh-CN"/>
        </w:rPr>
        <w:t>承诺期限为</w:t>
      </w:r>
      <w:r>
        <w:rPr>
          <w:rFonts w:hint="eastAsia"/>
          <w:b w:val="0"/>
          <w:bCs/>
          <w:highlight w:val="none"/>
          <w:lang w:val="zh-CN" w:eastAsia="zh-CN"/>
        </w:rPr>
        <w:t>成立之日起</w:t>
      </w:r>
      <w:r>
        <w:rPr>
          <w:rFonts w:hint="eastAsia"/>
          <w:b w:val="0"/>
          <w:bCs/>
          <w:highlight w:val="none"/>
          <w:lang w:val="en-US" w:eastAsia="zh-CN"/>
        </w:rPr>
        <w:t>至今)无行贿犯罪记录的承诺；</w:t>
      </w:r>
    </w:p>
    <w:p w14:paraId="2ECFEE80">
      <w:pPr>
        <w:pStyle w:val="53"/>
        <w:keepNext w:val="0"/>
        <w:keepLines w:val="0"/>
        <w:pageBreakBefore w:val="0"/>
        <w:widowControl w:val="0"/>
        <w:kinsoku/>
        <w:overflowPunct/>
        <w:autoSpaceDE/>
        <w:autoSpaceDN/>
        <w:bidi w:val="0"/>
        <w:spacing w:line="520" w:lineRule="exact"/>
        <w:jc w:val="both"/>
        <w:textAlignment w:val="auto"/>
        <w:rPr>
          <w:rFonts w:hint="eastAsia"/>
          <w:b w:val="0"/>
          <w:bCs/>
          <w:highlight w:val="none"/>
          <w:lang w:val="zh-CN" w:eastAsia="zh-CN"/>
        </w:rPr>
      </w:pPr>
      <w:r>
        <w:rPr>
          <w:rFonts w:hint="eastAsia"/>
          <w:b w:val="0"/>
          <w:bCs/>
          <w:highlight w:val="none"/>
          <w:lang w:val="en-US" w:eastAsia="zh-CN"/>
        </w:rPr>
        <w:t>2.供应商未提供有效承诺函的，则需要在响应文件中书面载明其“现任法定代表人”(姓名和身份证号码)、“主要负责人”(姓名和身份证号码)信息，由采购代理机构通过“中国裁判文书网”查询，并将查询记录存档，查询结果与承诺函具有同等效力</w:t>
      </w:r>
      <w:r>
        <w:rPr>
          <w:rFonts w:hint="eastAsia"/>
          <w:b w:val="0"/>
          <w:bCs/>
          <w:highlight w:val="none"/>
          <w:lang w:val="zh-CN" w:eastAsia="zh-CN"/>
        </w:rPr>
        <w:t>。</w:t>
      </w:r>
    </w:p>
    <w:p w14:paraId="3F55950D">
      <w:pPr>
        <w:pStyle w:val="69"/>
        <w:keepNext w:val="0"/>
        <w:keepLines w:val="0"/>
        <w:pageBreakBefore w:val="0"/>
        <w:widowControl w:val="0"/>
        <w:numPr>
          <w:ilvl w:val="3"/>
          <w:numId w:val="0"/>
        </w:numPr>
        <w:kinsoku/>
        <w:wordWrap w:val="0"/>
        <w:overflowPunct/>
        <w:topLinePunct/>
        <w:autoSpaceDE/>
        <w:autoSpaceDN/>
        <w:bidi w:val="0"/>
        <w:adjustRightInd w:val="0"/>
        <w:snapToGrid w:val="0"/>
        <w:spacing w:line="520" w:lineRule="exact"/>
        <w:ind w:leftChars="0" w:firstLine="482" w:firstLineChars="200"/>
        <w:textAlignment w:val="auto"/>
        <w:rPr>
          <w:rFonts w:hint="eastAsia"/>
          <w:lang w:val="en-US" w:eastAsia="zh-CN"/>
        </w:rPr>
      </w:pPr>
      <w:r>
        <w:rPr>
          <w:rFonts w:hint="eastAsia"/>
          <w:b/>
          <w:bCs/>
          <w:highlight w:val="none"/>
          <w:lang w:val="en-US" w:eastAsia="zh-CN"/>
        </w:rPr>
        <w:t>注：</w:t>
      </w:r>
      <w:r>
        <w:rPr>
          <w:rFonts w:hint="eastAsia"/>
          <w:b/>
          <w:bCs/>
          <w:highlight w:val="none"/>
          <w:lang w:eastAsia="zh-CN"/>
        </w:rPr>
        <w:t>①</w:t>
      </w:r>
      <w:r>
        <w:rPr>
          <w:rFonts w:hint="eastAsia"/>
          <w:b/>
          <w:bCs/>
          <w:highlight w:val="none"/>
          <w:lang w:val="en-US" w:eastAsia="zh-CN"/>
        </w:rPr>
        <w:t>供应商采用提供承诺函方式响应的，其内容必须符合上述第1款的要求，否则将视为无效承诺；</w:t>
      </w:r>
      <w:r>
        <w:rPr>
          <w:rFonts w:hint="eastAsia"/>
          <w:b/>
          <w:bCs/>
          <w:highlight w:val="none"/>
          <w:lang w:eastAsia="zh-CN"/>
        </w:rPr>
        <w:t>②</w:t>
      </w:r>
      <w:r>
        <w:rPr>
          <w:rFonts w:hint="eastAsia"/>
          <w:b/>
          <w:bCs/>
          <w:highlight w:val="none"/>
          <w:lang w:val="en-US" w:eastAsia="zh-CN"/>
        </w:rPr>
        <w:t>如供应商未提供有效承诺函，且未</w:t>
      </w:r>
      <w:r>
        <w:rPr>
          <w:rFonts w:hint="eastAsia"/>
          <w:b/>
          <w:bCs w:val="0"/>
          <w:highlight w:val="none"/>
          <w:lang w:val="en-US" w:eastAsia="zh-CN"/>
        </w:rPr>
        <w:t>在响应文件中书面载明</w:t>
      </w:r>
      <w:r>
        <w:rPr>
          <w:rFonts w:hint="eastAsia"/>
          <w:b/>
          <w:bCs/>
          <w:highlight w:val="none"/>
          <w:lang w:val="en-US" w:eastAsia="zh-CN"/>
        </w:rPr>
        <w:t>其“现任法定代表人”(姓名和身份证号码)、“主要负责人”(姓名和身份证号码)信息的，将被视为无效响应。</w:t>
      </w:r>
    </w:p>
    <w:p w14:paraId="1685F512">
      <w:pPr>
        <w:pStyle w:val="38"/>
        <w:keepNext w:val="0"/>
        <w:keepLines w:val="0"/>
        <w:pageBreakBefore w:val="0"/>
        <w:widowControl w:val="0"/>
        <w:numPr>
          <w:ilvl w:val="1"/>
          <w:numId w:val="1"/>
        </w:numPr>
        <w:kinsoku/>
        <w:overflowPunct/>
        <w:autoSpaceDE/>
        <w:autoSpaceDN/>
        <w:bidi w:val="0"/>
        <w:spacing w:line="520" w:lineRule="exact"/>
        <w:textAlignment w:val="auto"/>
        <w:rPr>
          <w:rFonts w:hint="eastAsia"/>
          <w:b/>
          <w:bCs/>
        </w:rPr>
      </w:pPr>
      <w:r>
        <w:rPr>
          <w:rFonts w:hint="eastAsia"/>
          <w:b/>
          <w:bCs/>
        </w:rPr>
        <w:t>法定代表人</w:t>
      </w:r>
      <w:r>
        <w:rPr>
          <w:rFonts w:hint="eastAsia"/>
          <w:b/>
          <w:bCs/>
          <w:lang w:val="en-US" w:eastAsia="zh-CN"/>
        </w:rPr>
        <w:t>/单位负责人</w:t>
      </w:r>
      <w:r>
        <w:rPr>
          <w:rFonts w:hint="eastAsia"/>
          <w:b/>
          <w:bCs/>
        </w:rPr>
        <w:t>授权书原件</w:t>
      </w:r>
      <w:r>
        <w:rPr>
          <w:rFonts w:hint="eastAsia"/>
          <w:b/>
          <w:bCs/>
          <w:lang w:val="en-US" w:eastAsia="zh-CN"/>
        </w:rPr>
        <w:t>；</w:t>
      </w:r>
    </w:p>
    <w:p w14:paraId="6D87AD10">
      <w:pPr>
        <w:pStyle w:val="53"/>
        <w:keepNext w:val="0"/>
        <w:keepLines w:val="0"/>
        <w:pageBreakBefore w:val="0"/>
        <w:widowControl w:val="0"/>
        <w:kinsoku/>
        <w:overflowPunct/>
        <w:autoSpaceDE/>
        <w:autoSpaceDN/>
        <w:bidi w:val="0"/>
        <w:spacing w:line="520" w:lineRule="exact"/>
        <w:textAlignment w:val="auto"/>
        <w:rPr>
          <w:rFonts w:hint="eastAsia"/>
          <w:lang w:eastAsia="zh-CN"/>
        </w:rPr>
      </w:pPr>
      <w:r>
        <w:rPr>
          <w:rFonts w:hint="eastAsia"/>
          <w:lang w:val="en-US" w:eastAsia="zh-CN"/>
        </w:rPr>
        <w:t>注：</w:t>
      </w:r>
      <w:r>
        <w:rPr>
          <w:rFonts w:hint="eastAsia"/>
          <w:lang w:eastAsia="zh-CN"/>
        </w:rPr>
        <w:t>①附法定代表人</w:t>
      </w:r>
      <w:r>
        <w:rPr>
          <w:rFonts w:hint="eastAsia"/>
          <w:lang w:val="en-US" w:eastAsia="zh-CN"/>
        </w:rPr>
        <w:t>/单位负责人</w:t>
      </w:r>
      <w:r>
        <w:rPr>
          <w:rFonts w:hint="eastAsia"/>
          <w:lang w:eastAsia="zh-CN"/>
        </w:rPr>
        <w:t>和被授权人身份证正反面复印件；②法定代表人</w:t>
      </w:r>
      <w:r>
        <w:rPr>
          <w:rFonts w:hint="eastAsia"/>
          <w:lang w:val="en-US" w:eastAsia="zh-CN"/>
        </w:rPr>
        <w:t>/单位负责人亲自</w:t>
      </w:r>
      <w:r>
        <w:rPr>
          <w:rFonts w:hint="eastAsia"/>
          <w:lang w:eastAsia="zh-CN"/>
        </w:rPr>
        <w:t>参与</w:t>
      </w:r>
      <w:r>
        <w:rPr>
          <w:rFonts w:hint="eastAsia"/>
          <w:lang w:val="en-US" w:eastAsia="zh-CN"/>
        </w:rPr>
        <w:t>磋商</w:t>
      </w:r>
      <w:r>
        <w:rPr>
          <w:rFonts w:hint="eastAsia"/>
          <w:lang w:eastAsia="zh-CN"/>
        </w:rPr>
        <w:t>时不需要提供。</w:t>
      </w:r>
    </w:p>
    <w:p w14:paraId="51D30BF0">
      <w:pPr>
        <w:pStyle w:val="38"/>
        <w:keepNext w:val="0"/>
        <w:keepLines w:val="0"/>
        <w:pageBreakBefore w:val="0"/>
        <w:widowControl w:val="0"/>
        <w:numPr>
          <w:ilvl w:val="1"/>
          <w:numId w:val="1"/>
        </w:numPr>
        <w:kinsoku/>
        <w:overflowPunct/>
        <w:autoSpaceDE/>
        <w:autoSpaceDN/>
        <w:bidi w:val="0"/>
        <w:spacing w:line="520" w:lineRule="exact"/>
        <w:textAlignment w:val="auto"/>
        <w:rPr>
          <w:rFonts w:hint="eastAsia"/>
          <w:b/>
          <w:bCs/>
        </w:rPr>
      </w:pPr>
      <w:r>
        <w:rPr>
          <w:rFonts w:hint="eastAsia"/>
          <w:b/>
          <w:bCs/>
          <w:lang w:val="en-US" w:eastAsia="zh-CN"/>
        </w:rPr>
        <w:t>法定</w:t>
      </w:r>
      <w:r>
        <w:rPr>
          <w:rFonts w:hint="eastAsia"/>
          <w:b/>
          <w:bCs/>
        </w:rPr>
        <w:t>代表人</w:t>
      </w:r>
      <w:r>
        <w:rPr>
          <w:rFonts w:hint="eastAsia"/>
          <w:b/>
          <w:bCs/>
          <w:lang w:val="en-US" w:eastAsia="zh-CN"/>
        </w:rPr>
        <w:t>/单位负责人</w:t>
      </w:r>
      <w:r>
        <w:rPr>
          <w:rFonts w:hint="eastAsia"/>
          <w:b/>
          <w:bCs/>
        </w:rPr>
        <w:t>证明书</w:t>
      </w:r>
      <w:r>
        <w:rPr>
          <w:rFonts w:hint="eastAsia"/>
          <w:b/>
          <w:bCs/>
          <w:lang w:val="en-US" w:eastAsia="zh-CN"/>
        </w:rPr>
        <w:t>；</w:t>
      </w:r>
    </w:p>
    <w:p w14:paraId="46AB8FAC">
      <w:pPr>
        <w:pStyle w:val="53"/>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注：①</w:t>
      </w:r>
      <w:r>
        <w:rPr>
          <w:rFonts w:hint="eastAsia"/>
          <w:lang w:eastAsia="zh-CN"/>
        </w:rPr>
        <w:t>附</w:t>
      </w:r>
      <w:r>
        <w:rPr>
          <w:rFonts w:hint="eastAsia"/>
          <w:lang w:val="en-US" w:eastAsia="zh-CN"/>
        </w:rPr>
        <w:t>法定代表人/单位负责人身份证正反面复印件；②法定代表人/单位负责人亲自参加磋商时提供本证明书。</w:t>
      </w:r>
    </w:p>
    <w:p w14:paraId="6B8CBC96">
      <w:pPr>
        <w:pStyle w:val="38"/>
        <w:keepNext w:val="0"/>
        <w:keepLines w:val="0"/>
        <w:pageBreakBefore w:val="0"/>
        <w:widowControl w:val="0"/>
        <w:numPr>
          <w:ilvl w:val="1"/>
          <w:numId w:val="1"/>
        </w:numPr>
        <w:kinsoku/>
        <w:overflowPunct/>
        <w:autoSpaceDE/>
        <w:autoSpaceDN/>
        <w:bidi w:val="0"/>
        <w:spacing w:line="520" w:lineRule="exact"/>
        <w:textAlignment w:val="auto"/>
        <w:rPr>
          <w:rFonts w:hint="eastAsia"/>
          <w:b/>
          <w:bCs/>
        </w:rPr>
      </w:pPr>
      <w:r>
        <w:rPr>
          <w:rFonts w:hint="eastAsia"/>
          <w:b/>
          <w:bCs/>
          <w:lang w:val="en-US" w:eastAsia="zh-CN"/>
        </w:rPr>
        <w:t>法律、</w:t>
      </w:r>
      <w:r>
        <w:rPr>
          <w:rFonts w:hint="eastAsia"/>
          <w:b/>
          <w:bCs/>
          <w:lang w:val="en-US" w:eastAsia="zh-CN"/>
        </w:rPr>
        <w:fldChar w:fldCharType="begin"/>
      </w:r>
      <w:r>
        <w:rPr>
          <w:rFonts w:hint="eastAsia"/>
          <w:b/>
          <w:bCs/>
          <w:lang w:val="en-US" w:eastAsia="zh-CN"/>
        </w:rPr>
        <w:instrText xml:space="preserve"> HYPERLINK "http://www.lawtime.cn/info/sifakaoshi/xingzhengfa/" \t "_blank" </w:instrText>
      </w:r>
      <w:r>
        <w:rPr>
          <w:rFonts w:hint="eastAsia"/>
          <w:b/>
          <w:bCs/>
          <w:lang w:val="en-US" w:eastAsia="zh-CN"/>
        </w:rPr>
        <w:fldChar w:fldCharType="separate"/>
      </w:r>
      <w:r>
        <w:rPr>
          <w:rFonts w:hint="eastAsia"/>
          <w:b/>
          <w:bCs/>
          <w:lang w:val="en-US" w:eastAsia="zh-CN"/>
        </w:rPr>
        <w:t>行政法</w:t>
      </w:r>
      <w:r>
        <w:rPr>
          <w:rFonts w:hint="eastAsia"/>
          <w:b/>
          <w:bCs/>
          <w:lang w:val="en-US" w:eastAsia="zh-CN"/>
        </w:rPr>
        <w:fldChar w:fldCharType="end"/>
      </w:r>
      <w:r>
        <w:rPr>
          <w:rFonts w:hint="eastAsia"/>
          <w:b/>
          <w:bCs/>
          <w:lang w:val="en-US" w:eastAsia="zh-CN"/>
        </w:rPr>
        <w:t>规规定的其他条件的证明材料；</w:t>
      </w:r>
    </w:p>
    <w:p w14:paraId="566D1A5A">
      <w:pPr>
        <w:pStyle w:val="51"/>
        <w:keepNext w:val="0"/>
        <w:keepLines w:val="0"/>
        <w:pageBreakBefore w:val="0"/>
        <w:widowControl w:val="0"/>
        <w:kinsoku/>
        <w:overflowPunct/>
        <w:autoSpaceDE/>
        <w:autoSpaceDN/>
        <w:bidi w:val="0"/>
        <w:spacing w:line="520" w:lineRule="exact"/>
        <w:textAlignment w:val="auto"/>
        <w:rPr>
          <w:rFonts w:hint="eastAsia"/>
          <w:highlight w:val="none"/>
          <w:lang w:val="en-US" w:eastAsia="zh-CN"/>
        </w:rPr>
      </w:pPr>
      <w:r>
        <w:rPr>
          <w:rFonts w:hint="eastAsia"/>
          <w:lang w:val="en-US" w:eastAsia="zh-CN"/>
        </w:rPr>
        <w:t>提供符合法律、</w:t>
      </w:r>
      <w:r>
        <w:rPr>
          <w:rFonts w:hint="eastAsia"/>
          <w:lang w:val="en-US" w:eastAsia="zh-CN"/>
        </w:rPr>
        <w:fldChar w:fldCharType="begin"/>
      </w:r>
      <w:r>
        <w:rPr>
          <w:rFonts w:hint="eastAsia"/>
          <w:lang w:val="en-US" w:eastAsia="zh-CN"/>
        </w:rPr>
        <w:instrText xml:space="preserve"> HYPERLINK "http://www.lawtime.cn/info/sifakaoshi/xingzhengfa/" \t "_blank" </w:instrText>
      </w:r>
      <w:r>
        <w:rPr>
          <w:rFonts w:hint="eastAsia"/>
          <w:lang w:val="en-US" w:eastAsia="zh-CN"/>
        </w:rPr>
        <w:fldChar w:fldCharType="separate"/>
      </w:r>
      <w:r>
        <w:rPr>
          <w:rFonts w:hint="eastAsia"/>
          <w:lang w:val="en-US" w:eastAsia="zh-CN"/>
        </w:rPr>
        <w:t>行政法</w:t>
      </w:r>
      <w:r>
        <w:rPr>
          <w:rFonts w:hint="eastAsia"/>
          <w:lang w:val="en-US" w:eastAsia="zh-CN"/>
        </w:rPr>
        <w:fldChar w:fldCharType="end"/>
      </w:r>
      <w:r>
        <w:rPr>
          <w:rFonts w:hint="eastAsia"/>
          <w:lang w:val="en-US" w:eastAsia="zh-CN"/>
        </w:rPr>
        <w:t>规规定的其他条</w:t>
      </w:r>
      <w:r>
        <w:rPr>
          <w:rFonts w:hint="eastAsia"/>
          <w:highlight w:val="none"/>
          <w:lang w:val="en-US" w:eastAsia="zh-CN"/>
        </w:rPr>
        <w:t>件的承诺函。</w:t>
      </w:r>
    </w:p>
    <w:p w14:paraId="686E6C51">
      <w:pPr>
        <w:pStyle w:val="38"/>
        <w:keepNext w:val="0"/>
        <w:keepLines w:val="0"/>
        <w:pageBreakBefore w:val="0"/>
        <w:numPr>
          <w:ilvl w:val="1"/>
          <w:numId w:val="1"/>
        </w:numPr>
        <w:kinsoku/>
        <w:overflowPunct/>
        <w:autoSpaceDE/>
        <w:autoSpaceDN/>
        <w:bidi w:val="0"/>
        <w:spacing w:line="520" w:lineRule="exact"/>
        <w:textAlignment w:val="auto"/>
        <w:rPr>
          <w:rFonts w:hint="eastAsia" w:ascii="宋体" w:hAnsi="宋体" w:eastAsia="宋体"/>
          <w:b/>
          <w:bCs/>
          <w:lang w:val="en-US"/>
        </w:rPr>
      </w:pPr>
      <w:r>
        <w:rPr>
          <w:rFonts w:hint="eastAsia" w:ascii="宋体" w:hAnsi="宋体" w:eastAsia="宋体" w:cstheme="minorBidi"/>
          <w:b/>
          <w:bCs/>
          <w:kern w:val="2"/>
          <w:sz w:val="24"/>
          <w:szCs w:val="24"/>
          <w:lang w:val="en-US" w:eastAsia="zh-CN" w:bidi="ar-SA"/>
        </w:rPr>
        <w:t>落实采购政策需满足的资格要求</w:t>
      </w:r>
      <w:r>
        <w:rPr>
          <w:rFonts w:hint="eastAsia" w:ascii="宋体" w:hAnsi="宋体" w:eastAsia="宋体"/>
          <w:b/>
          <w:bCs/>
          <w:lang w:val="en-US"/>
        </w:rPr>
        <w:t>：</w:t>
      </w:r>
    </w:p>
    <w:p w14:paraId="5504E270">
      <w:pPr>
        <w:pStyle w:val="39"/>
        <w:keepNext w:val="0"/>
        <w:keepLines w:val="0"/>
        <w:pageBreakBefore w:val="0"/>
        <w:widowControl w:val="0"/>
        <w:numPr>
          <w:ilvl w:val="0"/>
          <w:numId w:val="0"/>
        </w:numPr>
        <w:kinsoku/>
        <w:wordWrap/>
        <w:overflowPunct/>
        <w:topLinePunct w:val="0"/>
        <w:autoSpaceDE/>
        <w:autoSpaceDN/>
        <w:bidi w:val="0"/>
        <w:adjustRightInd w:val="0"/>
        <w:snapToGrid w:val="0"/>
        <w:spacing w:line="520" w:lineRule="exact"/>
        <w:ind w:firstLine="480" w:firstLineChars="200"/>
        <w:textAlignment w:val="auto"/>
        <w:rPr>
          <w:rFonts w:hint="eastAsia"/>
          <w:highlight w:val="none"/>
          <w:lang w:val="en-US" w:eastAsia="zh-CN"/>
        </w:rPr>
      </w:pPr>
      <w:r>
        <w:rPr>
          <w:rFonts w:hint="eastAsia"/>
          <w:color w:val="auto"/>
          <w:highlight w:val="none"/>
          <w:lang w:val="zh-CN"/>
        </w:rPr>
        <w:t>本项目专门面向中小企业采购的项目,供应商应为中小微企业、监狱企业、残疾人福利性单位，提供中小企业声明函</w:t>
      </w:r>
      <w:r>
        <w:rPr>
          <w:rFonts w:hint="eastAsia"/>
          <w:color w:val="auto"/>
          <w:highlight w:val="none"/>
          <w:lang w:val="en-US" w:eastAsia="zh-CN"/>
        </w:rPr>
        <w:t>(符合中小企业划分标准的个体工商户可按此格式填报)</w:t>
      </w:r>
      <w:r>
        <w:rPr>
          <w:rFonts w:hint="eastAsia"/>
          <w:color w:val="auto"/>
          <w:highlight w:val="none"/>
          <w:lang w:val="zh-CN"/>
        </w:rPr>
        <w:t>或监狱企业相关证明材料或残疾人福利性单位声明函</w:t>
      </w:r>
      <w:r>
        <w:rPr>
          <w:rFonts w:hint="eastAsia"/>
          <w:color w:val="auto"/>
          <w:highlight w:val="none"/>
          <w:lang w:val="en-US" w:eastAsia="zh-CN"/>
        </w:rPr>
        <w:t>原件</w:t>
      </w:r>
      <w:r>
        <w:rPr>
          <w:rFonts w:hint="eastAsia"/>
          <w:color w:val="auto"/>
          <w:highlight w:val="none"/>
          <w:lang w:val="zh-CN"/>
        </w:rPr>
        <w:t>。</w:t>
      </w:r>
    </w:p>
    <w:p w14:paraId="347420DB">
      <w:pPr>
        <w:pStyle w:val="38"/>
        <w:keepNext w:val="0"/>
        <w:keepLines w:val="0"/>
        <w:pageBreakBefore w:val="0"/>
        <w:widowControl w:val="0"/>
        <w:numPr>
          <w:ilvl w:val="1"/>
          <w:numId w:val="1"/>
        </w:numPr>
        <w:kinsoku/>
        <w:overflowPunct/>
        <w:autoSpaceDE/>
        <w:autoSpaceDN/>
        <w:bidi w:val="0"/>
        <w:spacing w:line="520" w:lineRule="exact"/>
        <w:ind w:leftChars="0"/>
        <w:textAlignment w:val="auto"/>
        <w:rPr>
          <w:rFonts w:hint="eastAsia" w:ascii="宋体" w:hAnsi="宋体" w:eastAsia="宋体"/>
          <w:b/>
          <w:bCs/>
          <w:color w:val="auto"/>
          <w:highlight w:val="none"/>
        </w:rPr>
      </w:pPr>
      <w:r>
        <w:rPr>
          <w:rFonts w:hint="eastAsia" w:ascii="宋体" w:hAnsi="宋体" w:eastAsia="宋体"/>
          <w:b/>
          <w:bCs/>
          <w:color w:val="auto"/>
          <w:highlight w:val="none"/>
          <w:lang w:val="en-US" w:eastAsia="zh-CN"/>
        </w:rPr>
        <w:t>根据</w:t>
      </w:r>
      <w:r>
        <w:rPr>
          <w:rFonts w:hint="eastAsia" w:ascii="宋体" w:hAnsi="宋体" w:eastAsia="宋体"/>
          <w:b/>
          <w:bCs/>
          <w:color w:val="auto"/>
          <w:highlight w:val="none"/>
        </w:rPr>
        <w:t>采购项目的特殊要求，规定供应商的特定条件</w:t>
      </w:r>
      <w:r>
        <w:rPr>
          <w:rFonts w:hint="eastAsia" w:ascii="宋体" w:hAnsi="宋体" w:eastAsia="宋体"/>
          <w:b/>
          <w:bCs/>
          <w:color w:val="auto"/>
          <w:highlight w:val="none"/>
          <w:lang w:val="en-US" w:eastAsia="zh-CN"/>
        </w:rPr>
        <w:t>的证明材料；</w:t>
      </w:r>
    </w:p>
    <w:p w14:paraId="4C90A919">
      <w:pPr>
        <w:pStyle w:val="41"/>
        <w:keepNext w:val="0"/>
        <w:keepLines w:val="0"/>
        <w:pageBreakBefore w:val="0"/>
        <w:widowControl w:val="0"/>
        <w:numPr>
          <w:ilvl w:val="2"/>
          <w:numId w:val="0"/>
        </w:numPr>
        <w:kinsoku/>
        <w:overflowPunct/>
        <w:autoSpaceDE/>
        <w:autoSpaceDN/>
        <w:bidi w:val="0"/>
        <w:spacing w:line="520" w:lineRule="exact"/>
        <w:ind w:leftChars="200"/>
        <w:textAlignment w:val="auto"/>
        <w:rPr>
          <w:rFonts w:hint="eastAsia"/>
        </w:rPr>
      </w:pPr>
      <w:r>
        <w:rPr>
          <w:rFonts w:hint="eastAsia"/>
          <w:color w:val="auto"/>
          <w:highlight w:val="none"/>
          <w:lang w:val="en-US" w:eastAsia="zh-CN"/>
        </w:rPr>
        <w:t>提供未与其他供应商组成联合体参与本次采购活动的承诺函</w:t>
      </w:r>
      <w:r>
        <w:rPr>
          <w:rFonts w:hint="eastAsia" w:ascii="宋体" w:hAnsi="宋体" w:eastAsia="宋体" w:cs="Times New Roman"/>
          <w:bCs w:val="0"/>
        </w:rPr>
        <w:t>。</w:t>
      </w:r>
    </w:p>
    <w:p w14:paraId="1ED62445">
      <w:pPr>
        <w:pStyle w:val="53"/>
        <w:keepNext w:val="0"/>
        <w:keepLines w:val="0"/>
        <w:pageBreakBefore w:val="0"/>
        <w:widowControl w:val="0"/>
        <w:kinsoku/>
        <w:overflowPunct/>
        <w:autoSpaceDE/>
        <w:autoSpaceDN/>
        <w:bidi w:val="0"/>
        <w:spacing w:line="520" w:lineRule="exact"/>
        <w:textAlignment w:val="auto"/>
        <w:rPr>
          <w:rFonts w:hint="eastAsia"/>
        </w:rPr>
      </w:pPr>
      <w:r>
        <w:rPr>
          <w:rFonts w:hint="eastAsia"/>
        </w:rPr>
        <w:t>说明：</w:t>
      </w:r>
      <w:r>
        <w:rPr>
          <w:rFonts w:hint="eastAsia"/>
          <w:lang w:val="en-US" w:eastAsia="zh-CN"/>
        </w:rPr>
        <w:t>①</w:t>
      </w:r>
      <w:r>
        <w:rPr>
          <w:rFonts w:hint="eastAsia"/>
        </w:rPr>
        <w:t>供应商提供的以上资格证明材料</w:t>
      </w:r>
      <w:r>
        <w:rPr>
          <w:rFonts w:hint="eastAsia"/>
          <w:lang w:val="en-US" w:eastAsia="zh-CN"/>
        </w:rPr>
        <w:t>及其他类似效力要求的相关证明材料</w:t>
      </w:r>
      <w:r>
        <w:rPr>
          <w:rFonts w:hint="eastAsia"/>
        </w:rPr>
        <w:t>均应加盖供应商公章，否则资格审查将视为未通过。本项目资格审查仅限于本章涉及的</w:t>
      </w:r>
      <w:r>
        <w:rPr>
          <w:rFonts w:hint="eastAsia"/>
          <w:lang w:val="en-US" w:eastAsia="zh-CN"/>
        </w:rPr>
        <w:t>所有</w:t>
      </w:r>
      <w:r>
        <w:rPr>
          <w:rFonts w:hint="eastAsia"/>
        </w:rPr>
        <w:t>内容</w:t>
      </w:r>
      <w:r>
        <w:rPr>
          <w:rFonts w:hint="eastAsia"/>
          <w:lang w:eastAsia="zh-CN"/>
        </w:rPr>
        <w:t>，</w:t>
      </w:r>
      <w:r>
        <w:rPr>
          <w:rFonts w:hint="eastAsia"/>
        </w:rPr>
        <w:t>若</w:t>
      </w:r>
      <w:r>
        <w:rPr>
          <w:rFonts w:hint="eastAsia"/>
          <w:lang w:val="en-US" w:eastAsia="zh-CN"/>
        </w:rPr>
        <w:t>供应商未按照以上要求</w:t>
      </w:r>
      <w:r>
        <w:rPr>
          <w:rFonts w:hint="eastAsia"/>
        </w:rPr>
        <w:t>提供</w:t>
      </w:r>
      <w:r>
        <w:rPr>
          <w:rFonts w:hint="eastAsia"/>
          <w:lang w:val="en-US" w:eastAsia="zh-CN"/>
        </w:rPr>
        <w:t>齐全</w:t>
      </w:r>
      <w:r>
        <w:rPr>
          <w:rFonts w:hint="eastAsia"/>
        </w:rPr>
        <w:t>，</w:t>
      </w:r>
      <w:r>
        <w:rPr>
          <w:rFonts w:hint="eastAsia"/>
          <w:lang w:val="en-US" w:eastAsia="zh-CN"/>
        </w:rPr>
        <w:t>其资格审查作未通过</w:t>
      </w:r>
      <w:r>
        <w:rPr>
          <w:rFonts w:hint="eastAsia"/>
        </w:rPr>
        <w:t>处理</w:t>
      </w:r>
      <w:r>
        <w:rPr>
          <w:rFonts w:hint="eastAsia"/>
          <w:lang w:eastAsia="zh-CN"/>
        </w:rPr>
        <w:t>。</w:t>
      </w:r>
    </w:p>
    <w:p w14:paraId="1D53A969">
      <w:pPr>
        <w:pStyle w:val="53"/>
        <w:keepNext w:val="0"/>
        <w:keepLines w:val="0"/>
        <w:pageBreakBefore w:val="0"/>
        <w:widowControl w:val="0"/>
        <w:kinsoku/>
        <w:overflowPunct/>
        <w:autoSpaceDE/>
        <w:autoSpaceDN/>
        <w:bidi w:val="0"/>
        <w:spacing w:line="520" w:lineRule="exact"/>
        <w:textAlignment w:val="auto"/>
        <w:rPr>
          <w:rFonts w:hint="eastAsia"/>
        </w:rPr>
      </w:pPr>
      <w:r>
        <w:rPr>
          <w:rFonts w:hint="eastAsia"/>
          <w:lang w:val="en-US" w:eastAsia="zh-CN"/>
        </w:rPr>
        <w:t>②重大违法记录是指供应商因违法经营受到刑事处罚或者责令停产停业、吊销许可证或者执照、较大数额罚款等行政处罚。供应商在参加采购活动前3年内因违法经营被禁止在一定期限内参加采购活动，期限届满的，可以参加采购活动</w:t>
      </w:r>
      <w:r>
        <w:rPr>
          <w:rFonts w:hint="eastAsia"/>
        </w:rPr>
        <w:t>。</w:t>
      </w:r>
    </w:p>
    <w:p w14:paraId="04939FFF">
      <w:pPr>
        <w:pStyle w:val="53"/>
        <w:keepNext w:val="0"/>
        <w:keepLines w:val="0"/>
        <w:pageBreakBefore w:val="0"/>
        <w:widowControl w:val="0"/>
        <w:kinsoku/>
        <w:overflowPunct/>
        <w:autoSpaceDE/>
        <w:autoSpaceDN/>
        <w:bidi w:val="0"/>
        <w:spacing w:line="520" w:lineRule="exact"/>
        <w:textAlignment w:val="auto"/>
        <w:rPr>
          <w:rFonts w:hint="eastAsia"/>
        </w:rPr>
      </w:pPr>
      <w:r>
        <w:rPr>
          <w:rFonts w:hint="eastAsia"/>
          <w:lang w:val="en-US" w:eastAsia="zh-CN"/>
        </w:rPr>
        <w:t>③</w:t>
      </w:r>
      <w:r>
        <w:rPr>
          <w:rFonts w:hint="eastAsia"/>
          <w:color w:val="000000"/>
          <w:highlight w:val="none"/>
        </w:rPr>
        <w:t>重大违法记录中的较大数额罚款的具体金额标准及范围是：</w:t>
      </w:r>
      <w:bookmarkStart w:id="432" w:name="sendNo"/>
      <w:r>
        <w:rPr>
          <w:rFonts w:hint="eastAsia"/>
          <w:color w:val="000000"/>
          <w:highlight w:val="none"/>
          <w:lang w:val="en-US" w:eastAsia="zh-CN"/>
        </w:rPr>
        <w:t>参照财库〔2022〕3号</w:t>
      </w:r>
      <w:bookmarkEnd w:id="432"/>
      <w:r>
        <w:rPr>
          <w:rFonts w:hint="eastAsia"/>
          <w:color w:val="000000"/>
          <w:highlight w:val="none"/>
          <w:lang w:val="en-US" w:eastAsia="zh-CN"/>
        </w:rPr>
        <w:t>文件关于</w:t>
      </w:r>
      <w:r>
        <w:rPr>
          <w:rFonts w:hint="eastAsia"/>
          <w:color w:val="000000"/>
          <w:highlight w:val="none"/>
        </w:rPr>
        <w:t>“较大数额罚款”认定为200万元以上的罚款，法律、行政法规以及国务院有关部门明确规定相关领域“较大数额罚款”标准高于200万元的，从其规定</w:t>
      </w:r>
      <w:r>
        <w:rPr>
          <w:rFonts w:hint="eastAsia"/>
        </w:rPr>
        <w:t>。</w:t>
      </w:r>
    </w:p>
    <w:p w14:paraId="7C417D77">
      <w:pPr>
        <w:pStyle w:val="53"/>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t>④供应商应对其所提供的资格证明材料来源的合法性、真实性承担法律责任。</w:t>
      </w:r>
    </w:p>
    <w:p w14:paraId="1874B77C">
      <w:pPr>
        <w:pStyle w:val="53"/>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fldChar w:fldCharType="begin"/>
      </w:r>
      <w:r>
        <w:rPr>
          <w:rFonts w:hint="eastAsia"/>
          <w:lang w:val="en-US" w:eastAsia="zh-CN"/>
        </w:rPr>
        <w:instrText xml:space="preserve"> = 5 \* GB3 \* MERGEFORMAT </w:instrText>
      </w:r>
      <w:r>
        <w:rPr>
          <w:rFonts w:hint="eastAsia"/>
          <w:lang w:val="en-US" w:eastAsia="zh-CN"/>
        </w:rPr>
        <w:fldChar w:fldCharType="separate"/>
      </w:r>
      <w:r>
        <w:rPr>
          <w:rFonts w:hint="eastAsia"/>
          <w:lang w:val="en-US" w:eastAsia="zh-CN"/>
        </w:rPr>
        <w:t>⑤</w:t>
      </w:r>
      <w:r>
        <w:rPr>
          <w:rFonts w:hint="eastAsia"/>
          <w:lang w:val="en-US" w:eastAsia="zh-CN"/>
        </w:rPr>
        <w:fldChar w:fldCharType="end"/>
      </w:r>
      <w:r>
        <w:rPr>
          <w:rFonts w:hint="eastAsia"/>
          <w:lang w:val="en-US" w:eastAsia="zh-CN"/>
        </w:rPr>
        <w:t>以上承诺及声明函可参照第三章响应文件格式“承诺及声明函”格式或自拟格式填写均有效。</w:t>
      </w:r>
    </w:p>
    <w:p w14:paraId="771DEB1D">
      <w:pPr>
        <w:pStyle w:val="53"/>
        <w:keepNext w:val="0"/>
        <w:keepLines w:val="0"/>
        <w:pageBreakBefore w:val="0"/>
        <w:widowControl w:val="0"/>
        <w:kinsoku/>
        <w:overflowPunct/>
        <w:autoSpaceDE/>
        <w:autoSpaceDN/>
        <w:bidi w:val="0"/>
        <w:spacing w:line="520" w:lineRule="exact"/>
        <w:textAlignment w:val="auto"/>
        <w:rPr>
          <w:rFonts w:hint="eastAsia"/>
          <w:lang w:val="en-US" w:eastAsia="zh-CN"/>
        </w:rPr>
      </w:pPr>
      <w:r>
        <w:rPr>
          <w:rFonts w:hint="eastAsia"/>
          <w:lang w:val="en-US" w:eastAsia="zh-CN"/>
        </w:rPr>
        <w:fldChar w:fldCharType="begin"/>
      </w:r>
      <w:r>
        <w:rPr>
          <w:rFonts w:hint="eastAsia"/>
          <w:lang w:val="en-US" w:eastAsia="zh-CN"/>
        </w:rPr>
        <w:instrText xml:space="preserve"> = 6 \* GB3 \* MERGEFORMAT </w:instrText>
      </w:r>
      <w:r>
        <w:rPr>
          <w:rFonts w:hint="eastAsia"/>
          <w:lang w:val="en-US" w:eastAsia="zh-CN"/>
        </w:rPr>
        <w:fldChar w:fldCharType="separate"/>
      </w:r>
      <w:r>
        <w:rPr>
          <w:rFonts w:hint="eastAsia"/>
          <w:lang w:val="en-US" w:eastAsia="zh-CN"/>
        </w:rPr>
        <w:t>⑥</w:t>
      </w:r>
      <w:r>
        <w:rPr>
          <w:rFonts w:hint="eastAsia"/>
          <w:lang w:val="en-US" w:eastAsia="zh-CN"/>
        </w:rPr>
        <w:fldChar w:fldCharType="end"/>
      </w:r>
      <w:r>
        <w:rPr>
          <w:rFonts w:hint="eastAsia"/>
          <w:lang w:val="en-US" w:eastAsia="zh-CN"/>
        </w:rPr>
        <w:t>本章要求提供的相关证明材料应当结合采购项目具体情况和供应商的组织机构性质确定，不得一概而论。</w:t>
      </w:r>
    </w:p>
    <w:bookmarkEnd w:id="431"/>
    <w:p w14:paraId="7354F385">
      <w:pPr>
        <w:keepNext w:val="0"/>
        <w:keepLines w:val="0"/>
        <w:pageBreakBefore w:val="0"/>
        <w:widowControl w:val="0"/>
        <w:kinsoku/>
        <w:overflowPunct/>
        <w:autoSpaceDE/>
        <w:autoSpaceDN/>
        <w:bidi w:val="0"/>
        <w:spacing w:line="520" w:lineRule="exact"/>
        <w:textAlignment w:val="auto"/>
        <w:rPr>
          <w:rFonts w:hint="eastAsia"/>
          <w:highlight w:val="yellow"/>
        </w:rPr>
      </w:pPr>
      <w:r>
        <w:rPr>
          <w:rFonts w:hint="eastAsia" w:asciiTheme="minorEastAsia" w:hAnsiTheme="minorEastAsia" w:eastAsiaTheme="minorEastAsia" w:cstheme="minorEastAsia"/>
          <w:color w:val="000000"/>
          <w:sz w:val="36"/>
          <w:szCs w:val="36"/>
          <w:lang w:val="en-US" w:eastAsia="zh-CN"/>
        </w:rPr>
        <w:br w:type="page"/>
      </w:r>
    </w:p>
    <w:p w14:paraId="6BE63A73">
      <w:pPr>
        <w:pStyle w:val="54"/>
        <w:keepNext w:val="0"/>
        <w:keepLines w:val="0"/>
        <w:pageBreakBefore w:val="0"/>
        <w:numPr>
          <w:ilvl w:val="0"/>
          <w:numId w:val="18"/>
        </w:numPr>
        <w:kinsoku/>
        <w:overflowPunct/>
        <w:autoSpaceDE/>
        <w:autoSpaceDN/>
        <w:bidi w:val="0"/>
        <w:spacing w:line="520" w:lineRule="exact"/>
        <w:textAlignment w:val="auto"/>
        <w:rPr>
          <w:rFonts w:hint="eastAsia"/>
          <w:highlight w:val="none"/>
        </w:rPr>
      </w:pPr>
      <w:bookmarkStart w:id="433" w:name="_Toc3972"/>
      <w:bookmarkStart w:id="434" w:name="_Toc21514"/>
      <w:bookmarkStart w:id="435" w:name="_Toc30303"/>
      <w:r>
        <w:rPr>
          <w:rFonts w:hint="eastAsia" w:asciiTheme="minorEastAsia" w:hAnsiTheme="minorEastAsia" w:eastAsiaTheme="minorEastAsia" w:cstheme="minorEastAsia"/>
          <w:color w:val="000000"/>
          <w:sz w:val="36"/>
          <w:szCs w:val="36"/>
          <w:highlight w:val="none"/>
          <w:lang w:val="en-US" w:eastAsia="zh-CN"/>
        </w:rPr>
        <w:t>采购项目技术、服务、合同内容条款及商务要求</w:t>
      </w:r>
      <w:bookmarkEnd w:id="433"/>
      <w:bookmarkEnd w:id="434"/>
      <w:bookmarkEnd w:id="435"/>
    </w:p>
    <w:p w14:paraId="014CBD3A">
      <w:pPr>
        <w:pStyle w:val="40"/>
        <w:keepNext w:val="0"/>
        <w:keepLines w:val="0"/>
        <w:pageBreakBefore w:val="0"/>
        <w:widowControl w:val="0"/>
        <w:numPr>
          <w:ilvl w:val="1"/>
          <w:numId w:val="0"/>
        </w:numPr>
        <w:kinsoku/>
        <w:wordWrap w:val="0"/>
        <w:overflowPunct/>
        <w:topLinePunct/>
        <w:autoSpaceDE/>
        <w:autoSpaceDN/>
        <w:bidi w:val="0"/>
        <w:adjustRightInd w:val="0"/>
        <w:snapToGrid w:val="0"/>
        <w:spacing w:line="520" w:lineRule="exact"/>
        <w:ind w:firstLine="482" w:firstLineChars="200"/>
        <w:textAlignment w:val="auto"/>
        <w:rPr>
          <w:rFonts w:hint="eastAsia"/>
          <w:highlight w:val="none"/>
        </w:rPr>
      </w:pPr>
      <w:bookmarkStart w:id="436" w:name="_Toc4748"/>
      <w:bookmarkStart w:id="437" w:name="_Toc3595"/>
      <w:bookmarkStart w:id="438" w:name="_Toc11705"/>
      <w:bookmarkStart w:id="439" w:name="_Toc18478"/>
      <w:bookmarkStart w:id="440" w:name="_Toc27469"/>
      <w:bookmarkStart w:id="441" w:name="_Toc1684"/>
      <w:bookmarkStart w:id="442" w:name="_Toc28932"/>
      <w:bookmarkStart w:id="443" w:name="_Toc307564899"/>
      <w:bookmarkStart w:id="444" w:name="_Toc217446060"/>
      <w:bookmarkStart w:id="445" w:name="_Toc1541"/>
      <w:bookmarkStart w:id="446" w:name="_Toc32159"/>
      <w:bookmarkStart w:id="447" w:name="_Toc308084648"/>
      <w:bookmarkStart w:id="448" w:name="_Toc307501157"/>
      <w:bookmarkStart w:id="449" w:name="_Toc1839"/>
      <w:bookmarkStart w:id="450" w:name="_Toc327196343"/>
      <w:bookmarkStart w:id="451" w:name="_Toc23360"/>
      <w:bookmarkStart w:id="452" w:name="_Toc29864"/>
      <w:bookmarkStart w:id="453" w:name="_Toc319439948"/>
      <w:bookmarkStart w:id="454" w:name="_Toc309897566"/>
      <w:bookmarkStart w:id="455" w:name="_Toc308188201"/>
      <w:bookmarkStart w:id="456" w:name="_Toc12025"/>
      <w:bookmarkStart w:id="457" w:name="_Toc319440192"/>
      <w:bookmarkStart w:id="458" w:name="_Toc217446099"/>
      <w:r>
        <w:rPr>
          <w:rFonts w:hint="eastAsia"/>
          <w:highlight w:val="none"/>
          <w:lang w:val="en-US" w:eastAsia="zh-CN"/>
        </w:rPr>
        <w:t>一、项目概况</w:t>
      </w:r>
      <w:bookmarkEnd w:id="436"/>
      <w:bookmarkEnd w:id="437"/>
      <w:bookmarkEnd w:id="438"/>
      <w:bookmarkEnd w:id="439"/>
    </w:p>
    <w:p w14:paraId="150068DC">
      <w:pPr>
        <w:pStyle w:val="48"/>
        <w:keepNext w:val="0"/>
        <w:keepLines w:val="0"/>
        <w:pageBreakBefore w:val="0"/>
        <w:widowControl w:val="0"/>
        <w:kinsoku/>
        <w:wordWrap w:val="0"/>
        <w:overflowPunct/>
        <w:topLinePunct/>
        <w:autoSpaceDE/>
        <w:autoSpaceDN/>
        <w:bidi w:val="0"/>
        <w:adjustRightInd w:val="0"/>
        <w:snapToGrid w:val="0"/>
        <w:spacing w:line="520" w:lineRule="exact"/>
        <w:ind w:firstLine="480" w:firstLineChars="200"/>
        <w:textAlignment w:val="auto"/>
        <w:rPr>
          <w:rFonts w:hint="eastAsia"/>
          <w:highlight w:val="none"/>
          <w:lang w:val="en-US" w:eastAsia="zh-CN"/>
        </w:rPr>
      </w:pPr>
      <w:r>
        <w:rPr>
          <w:rFonts w:hint="eastAsia"/>
          <w:highlight w:val="none"/>
          <w:lang w:val="en-US" w:eastAsia="zh-CN"/>
        </w:rPr>
        <w:t>对西南石油大学四川省天然气产业产教深度融合综合示范基地项目开展跟踪审计(不含竣工结算审计)，采购具有相应专业能力的供应商提供建设项目跟踪审计服务。按照采购文件和采购人要求，依据相关法律法规对建设项目的施工准备、施工过程、竣工验收等阶段的业务和管理活动进行审计。包括但不限于内部控制审计、招投标(采购)审计、工程管理审计、工程造价审计等内容。对每个审计事项和内容单独出具审计咨询意见或报告。</w:t>
      </w:r>
    </w:p>
    <w:p w14:paraId="38CC6E4F">
      <w:pPr>
        <w:pStyle w:val="40"/>
        <w:keepNext w:val="0"/>
        <w:keepLines w:val="0"/>
        <w:pageBreakBefore w:val="0"/>
        <w:widowControl w:val="0"/>
        <w:numPr>
          <w:ilvl w:val="1"/>
          <w:numId w:val="0"/>
        </w:numPr>
        <w:kinsoku/>
        <w:overflowPunct/>
        <w:autoSpaceDE/>
        <w:autoSpaceDN/>
        <w:bidi w:val="0"/>
        <w:spacing w:line="520" w:lineRule="exact"/>
        <w:ind w:firstLine="482" w:firstLineChars="200"/>
        <w:textAlignment w:val="auto"/>
        <w:rPr>
          <w:rFonts w:hint="default" w:eastAsia="宋体"/>
          <w:highlight w:val="none"/>
          <w:lang w:val="en-US" w:eastAsia="zh-CN"/>
        </w:rPr>
      </w:pPr>
      <w:bookmarkStart w:id="459" w:name="_Toc28606"/>
      <w:r>
        <w:rPr>
          <w:rFonts w:hint="eastAsia"/>
          <w:lang w:val="en-US" w:eastAsia="zh-CN"/>
        </w:rPr>
        <w:t>二、服务内容及服务要求</w:t>
      </w:r>
      <w:bookmarkEnd w:id="459"/>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9"/>
        <w:gridCol w:w="740"/>
        <w:gridCol w:w="7240"/>
      </w:tblGrid>
      <w:tr w14:paraId="0580E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blHeader/>
        </w:trPr>
        <w:tc>
          <w:tcPr>
            <w:tcW w:w="316" w:type="pct"/>
            <w:shd w:val="clear" w:color="auto" w:fill="auto"/>
            <w:vAlign w:val="center"/>
          </w:tcPr>
          <w:p w14:paraId="38CDC1B6">
            <w:pPr>
              <w:widowControl/>
              <w:shd w:val="clear" w:color="auto" w:fill="FFFFFF"/>
              <w:spacing w:line="360" w:lineRule="auto"/>
              <w:jc w:val="center"/>
              <w:rPr>
                <w:rFonts w:hint="eastAsia" w:ascii="宋体" w:hAnsi="宋体" w:eastAsia="宋体" w:cs="宋体"/>
                <w:b/>
                <w:color w:val="000000"/>
                <w:spacing w:val="20"/>
                <w:kern w:val="0"/>
                <w:sz w:val="21"/>
                <w:szCs w:val="21"/>
              </w:rPr>
            </w:pPr>
            <w:r>
              <w:rPr>
                <w:rFonts w:hint="eastAsia" w:ascii="宋体" w:hAnsi="宋体" w:eastAsia="宋体" w:cs="宋体"/>
                <w:b/>
                <w:color w:val="000000"/>
                <w:spacing w:val="20"/>
                <w:kern w:val="0"/>
                <w:sz w:val="21"/>
                <w:szCs w:val="21"/>
              </w:rPr>
              <w:t>序号</w:t>
            </w:r>
          </w:p>
        </w:tc>
        <w:tc>
          <w:tcPr>
            <w:tcW w:w="434" w:type="pct"/>
            <w:shd w:val="clear" w:color="auto" w:fill="auto"/>
          </w:tcPr>
          <w:p w14:paraId="488D481F">
            <w:pPr>
              <w:widowControl/>
              <w:shd w:val="clear" w:color="auto" w:fill="FFFFFF"/>
              <w:spacing w:line="360" w:lineRule="auto"/>
              <w:jc w:val="center"/>
              <w:rPr>
                <w:rFonts w:hint="eastAsia" w:ascii="宋体" w:hAnsi="宋体" w:eastAsia="宋体" w:cs="宋体"/>
                <w:b/>
                <w:color w:val="000000"/>
                <w:spacing w:val="20"/>
                <w:kern w:val="0"/>
                <w:sz w:val="21"/>
                <w:szCs w:val="21"/>
                <w:lang w:eastAsia="zh-CN"/>
              </w:rPr>
            </w:pPr>
            <w:r>
              <w:rPr>
                <w:rFonts w:hint="eastAsia" w:ascii="宋体" w:hAnsi="宋体" w:eastAsia="宋体" w:cs="宋体"/>
                <w:b/>
                <w:color w:val="000000"/>
                <w:spacing w:val="20"/>
                <w:kern w:val="0"/>
                <w:sz w:val="21"/>
                <w:szCs w:val="21"/>
                <w:lang w:val="en-US" w:eastAsia="zh-CN"/>
              </w:rPr>
              <w:t>采购内容</w:t>
            </w:r>
          </w:p>
        </w:tc>
        <w:tc>
          <w:tcPr>
            <w:tcW w:w="4248" w:type="pct"/>
            <w:shd w:val="clear" w:color="auto" w:fill="auto"/>
            <w:vAlign w:val="center"/>
          </w:tcPr>
          <w:p w14:paraId="6F14A167">
            <w:pPr>
              <w:widowControl/>
              <w:shd w:val="clear" w:color="auto" w:fill="FFFFFF"/>
              <w:spacing w:line="360" w:lineRule="auto"/>
              <w:jc w:val="center"/>
              <w:rPr>
                <w:rFonts w:hint="eastAsia" w:ascii="宋体" w:hAnsi="宋体" w:eastAsia="宋体" w:cs="宋体"/>
                <w:b/>
                <w:color w:val="000000"/>
                <w:spacing w:val="20"/>
                <w:kern w:val="0"/>
                <w:sz w:val="21"/>
                <w:szCs w:val="21"/>
                <w:lang w:val="en-US" w:eastAsia="zh-CN"/>
              </w:rPr>
            </w:pPr>
            <w:r>
              <w:rPr>
                <w:rFonts w:hint="eastAsia" w:ascii="宋体" w:hAnsi="宋体" w:eastAsia="宋体" w:cs="宋体"/>
                <w:b/>
                <w:color w:val="000000"/>
                <w:spacing w:val="20"/>
                <w:kern w:val="0"/>
                <w:sz w:val="21"/>
                <w:szCs w:val="21"/>
                <w:lang w:val="en-US" w:eastAsia="zh-CN"/>
              </w:rPr>
              <w:t>技术参数与性能指标</w:t>
            </w:r>
          </w:p>
        </w:tc>
      </w:tr>
      <w:tr w14:paraId="61A4E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316" w:type="pct"/>
            <w:vAlign w:val="center"/>
          </w:tcPr>
          <w:p w14:paraId="3DE882BF">
            <w:pPr>
              <w:widowControl/>
              <w:shd w:val="clear" w:color="auto" w:fill="FFFFFF"/>
              <w:spacing w:line="360" w:lineRule="auto"/>
              <w:jc w:val="center"/>
              <w:rPr>
                <w:rFonts w:hint="eastAsia" w:ascii="宋体" w:hAnsi="宋体" w:eastAsia="宋体" w:cs="宋体"/>
                <w:b/>
                <w:color w:val="000000"/>
                <w:spacing w:val="20"/>
                <w:kern w:val="0"/>
                <w:sz w:val="21"/>
                <w:szCs w:val="21"/>
              </w:rPr>
            </w:pPr>
            <w:r>
              <w:rPr>
                <w:rFonts w:hint="eastAsia" w:ascii="宋体" w:hAnsi="宋体" w:eastAsia="宋体" w:cs="宋体"/>
                <w:b w:val="0"/>
                <w:bCs/>
                <w:kern w:val="0"/>
                <w:sz w:val="21"/>
                <w:szCs w:val="21"/>
                <w:lang w:bidi="ar"/>
              </w:rPr>
              <w:t>1</w:t>
            </w:r>
          </w:p>
        </w:tc>
        <w:tc>
          <w:tcPr>
            <w:tcW w:w="434" w:type="pct"/>
            <w:vAlign w:val="center"/>
          </w:tcPr>
          <w:p w14:paraId="1BECBF71">
            <w:pPr>
              <w:pStyle w:val="77"/>
              <w:rPr>
                <w:rFonts w:hint="eastAsia" w:ascii="宋体" w:hAnsi="宋体" w:eastAsia="宋体" w:cs="宋体"/>
                <w:bCs w:val="0"/>
                <w:color w:val="auto"/>
                <w:spacing w:val="20"/>
                <w:kern w:val="2"/>
                <w:sz w:val="21"/>
                <w:szCs w:val="21"/>
              </w:rPr>
            </w:pPr>
            <w:r>
              <w:rPr>
                <w:rFonts w:hint="eastAsia" w:ascii="宋体" w:hAnsi="宋体" w:eastAsia="宋体" w:cs="宋体"/>
                <w:bCs w:val="0"/>
                <w:color w:val="auto"/>
                <w:spacing w:val="20"/>
                <w:kern w:val="2"/>
                <w:sz w:val="21"/>
                <w:szCs w:val="21"/>
              </w:rPr>
              <w:t>西南石油大学四川省天然气产业产教深度融合综合示范基地跟踪审计</w:t>
            </w:r>
          </w:p>
        </w:tc>
        <w:tc>
          <w:tcPr>
            <w:tcW w:w="4248" w:type="pct"/>
          </w:tcPr>
          <w:p w14:paraId="3550DD43">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★1.项目概况</w:t>
            </w:r>
          </w:p>
          <w:p w14:paraId="7B20CBAE">
            <w:pPr>
              <w:spacing w:line="360" w:lineRule="auto"/>
              <w:rPr>
                <w:rFonts w:hint="eastAsia" w:ascii="宋体" w:hAnsi="宋体" w:eastAsia="宋体" w:cs="宋体"/>
                <w:kern w:val="0"/>
                <w:sz w:val="21"/>
                <w:szCs w:val="21"/>
                <w:lang w:eastAsia="zh-CN" w:bidi="ar"/>
              </w:rPr>
            </w:pPr>
            <w:r>
              <w:rPr>
                <w:rFonts w:hint="eastAsia" w:ascii="宋体" w:hAnsi="宋体" w:eastAsia="宋体" w:cs="宋体"/>
                <w:kern w:val="0"/>
                <w:sz w:val="21"/>
                <w:szCs w:val="21"/>
                <w:lang w:bidi="ar"/>
              </w:rPr>
              <w:t>1.1西南石油大学四川省天然气产业产教深度融合综合示范基地项目，总建筑面积6045平方米，主要包含实验实习室</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配套建设给水及雨污水系统、变配电系统、电气火灾监控系统等附属工程</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配套建设道路、绿地等总图工程</w:t>
            </w:r>
            <w:r>
              <w:rPr>
                <w:rFonts w:hint="eastAsia" w:ascii="宋体" w:hAnsi="宋体" w:eastAsia="宋体" w:cs="宋体"/>
                <w:kern w:val="0"/>
                <w:sz w:val="21"/>
                <w:szCs w:val="21"/>
                <w:lang w:eastAsia="zh-CN" w:bidi="ar"/>
              </w:rPr>
              <w:t>，</w:t>
            </w:r>
            <w:r>
              <w:rPr>
                <w:rFonts w:hint="eastAsia" w:cs="宋体"/>
                <w:kern w:val="0"/>
                <w:sz w:val="21"/>
                <w:szCs w:val="21"/>
                <w:lang w:val="en-US" w:eastAsia="zh-CN" w:bidi="ar"/>
              </w:rPr>
              <w:t>目前在建，</w:t>
            </w:r>
            <w:r>
              <w:rPr>
                <w:rFonts w:hint="eastAsia" w:ascii="宋体" w:hAnsi="宋体" w:eastAsia="宋体" w:cs="宋体"/>
                <w:kern w:val="0"/>
                <w:sz w:val="21"/>
                <w:szCs w:val="21"/>
                <w:lang w:bidi="ar"/>
              </w:rPr>
              <w:t>工期150日历天</w:t>
            </w:r>
            <w:r>
              <w:rPr>
                <w:rFonts w:hint="eastAsia" w:ascii="宋体" w:hAnsi="宋体" w:eastAsia="宋体" w:cs="宋体"/>
                <w:kern w:val="0"/>
                <w:sz w:val="21"/>
                <w:szCs w:val="21"/>
                <w:lang w:eastAsia="zh-CN" w:bidi="ar"/>
              </w:rPr>
              <w:t>。</w:t>
            </w:r>
          </w:p>
          <w:p w14:paraId="3E75317B">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★2.工作内容及要求</w:t>
            </w:r>
          </w:p>
          <w:p w14:paraId="71497B58">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对西南石油大学四川省天然气产业产教深度融合综合示范基地</w:t>
            </w:r>
            <w:r>
              <w:rPr>
                <w:rFonts w:hint="eastAsia" w:ascii="宋体" w:hAnsi="宋体" w:eastAsia="宋体" w:cs="宋体"/>
                <w:kern w:val="0"/>
                <w:sz w:val="21"/>
                <w:szCs w:val="21"/>
                <w:lang w:val="en-US" w:eastAsia="zh-CN" w:bidi="ar"/>
              </w:rPr>
              <w:t>项目</w:t>
            </w:r>
            <w:r>
              <w:rPr>
                <w:rFonts w:hint="eastAsia" w:ascii="宋体" w:hAnsi="宋体" w:eastAsia="宋体" w:cs="宋体"/>
                <w:kern w:val="0"/>
                <w:sz w:val="21"/>
                <w:szCs w:val="21"/>
                <w:lang w:bidi="ar"/>
              </w:rPr>
              <w:t>进行跟踪审计，向采购人提供相关专业技术的咨询服务，工作内容及相关要求具体如下：</w:t>
            </w:r>
          </w:p>
          <w:p w14:paraId="03CA055B">
            <w:pPr>
              <w:spacing w:line="360" w:lineRule="auto"/>
              <w:rPr>
                <w:rFonts w:hint="eastAsia" w:ascii="宋体" w:hAnsi="宋体" w:eastAsia="宋体" w:cs="宋体"/>
                <w:kern w:val="0"/>
                <w:sz w:val="21"/>
                <w:szCs w:val="21"/>
                <w:highlight w:val="none"/>
                <w:lang w:bidi="ar"/>
              </w:rPr>
            </w:pPr>
            <w:r>
              <w:rPr>
                <w:rFonts w:hint="eastAsia" w:ascii="宋体" w:hAnsi="宋体" w:eastAsia="宋体" w:cs="宋体"/>
                <w:kern w:val="0"/>
                <w:sz w:val="21"/>
                <w:szCs w:val="21"/>
                <w:lang w:val="en-US" w:eastAsia="zh-CN" w:bidi="ar"/>
              </w:rPr>
              <w:t>2.1</w:t>
            </w:r>
            <w:r>
              <w:rPr>
                <w:rFonts w:hint="eastAsia" w:ascii="宋体" w:hAnsi="宋体" w:eastAsia="宋体" w:cs="宋体"/>
                <w:kern w:val="0"/>
                <w:sz w:val="21"/>
                <w:szCs w:val="21"/>
                <w:lang w:bidi="ar"/>
              </w:rPr>
              <w:t>对</w:t>
            </w:r>
            <w:r>
              <w:rPr>
                <w:rFonts w:hint="eastAsia" w:ascii="宋体" w:hAnsi="宋体" w:eastAsia="宋体" w:cs="宋体"/>
                <w:kern w:val="0"/>
                <w:sz w:val="21"/>
                <w:szCs w:val="21"/>
                <w:highlight w:val="none"/>
                <w:lang w:val="en-US" w:eastAsia="zh-CN" w:bidi="ar"/>
              </w:rPr>
              <w:t>施工准备、</w:t>
            </w:r>
            <w:r>
              <w:rPr>
                <w:rFonts w:hint="eastAsia" w:ascii="宋体" w:hAnsi="宋体" w:eastAsia="宋体" w:cs="宋体"/>
                <w:kern w:val="0"/>
                <w:sz w:val="21"/>
                <w:szCs w:val="21"/>
                <w:highlight w:val="none"/>
                <w:lang w:bidi="ar"/>
              </w:rPr>
              <w:t>施工过程、竣工验收等各</w:t>
            </w:r>
            <w:r>
              <w:rPr>
                <w:rFonts w:hint="eastAsia" w:ascii="宋体" w:hAnsi="宋体" w:eastAsia="宋体" w:cs="宋体"/>
                <w:kern w:val="0"/>
                <w:sz w:val="21"/>
                <w:szCs w:val="21"/>
                <w:lang w:bidi="ar"/>
              </w:rPr>
              <w:t>阶段的业务和管理活动进行审计。包括但不限于工程管</w:t>
            </w:r>
            <w:r>
              <w:rPr>
                <w:rFonts w:hint="eastAsia" w:ascii="宋体" w:hAnsi="宋体" w:eastAsia="宋体" w:cs="宋体"/>
                <w:kern w:val="0"/>
                <w:sz w:val="21"/>
                <w:szCs w:val="21"/>
                <w:highlight w:val="none"/>
                <w:lang w:bidi="ar"/>
              </w:rPr>
              <w:t>理审计、工程造价审计、内部控制审计等内容。对每个审计事项和内容单独出具审计咨询意见或报告。</w:t>
            </w:r>
          </w:p>
          <w:p w14:paraId="47F6F8A1">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2.2</w:t>
            </w:r>
            <w:r>
              <w:rPr>
                <w:rFonts w:hint="eastAsia" w:ascii="宋体" w:hAnsi="宋体" w:eastAsia="宋体" w:cs="宋体"/>
                <w:kern w:val="0"/>
                <w:sz w:val="21"/>
                <w:szCs w:val="21"/>
                <w:lang w:bidi="ar"/>
              </w:rPr>
              <w:t>供应商需对</w:t>
            </w:r>
            <w:r>
              <w:rPr>
                <w:rFonts w:hint="eastAsia" w:ascii="宋体" w:hAnsi="宋体" w:eastAsia="宋体" w:cs="宋体"/>
                <w:kern w:val="0"/>
                <w:sz w:val="21"/>
                <w:szCs w:val="21"/>
                <w:lang w:val="en-US" w:eastAsia="zh-CN" w:bidi="ar"/>
              </w:rPr>
              <w:t>建设项目承包人</w:t>
            </w:r>
            <w:r>
              <w:rPr>
                <w:rFonts w:hint="eastAsia" w:ascii="宋体" w:hAnsi="宋体" w:eastAsia="宋体" w:cs="宋体"/>
                <w:kern w:val="0"/>
                <w:sz w:val="21"/>
                <w:szCs w:val="21"/>
                <w:lang w:bidi="ar"/>
              </w:rPr>
              <w:t>投标报价的完整性、合理性进行审查</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以下简称：清标</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，并与采购人招标控制价进行对比，分析风险点，向采购人提交清标报告。</w:t>
            </w:r>
          </w:p>
          <w:p w14:paraId="3B3D1CC5">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r>
              <w:rPr>
                <w:rFonts w:hint="eastAsia" w:ascii="宋体" w:hAnsi="宋体" w:eastAsia="宋体" w:cs="宋体"/>
                <w:kern w:val="0"/>
                <w:sz w:val="21"/>
                <w:szCs w:val="21"/>
                <w:lang w:val="en-US" w:eastAsia="zh-CN" w:bidi="ar"/>
              </w:rPr>
              <w:t>3</w:t>
            </w:r>
            <w:r>
              <w:rPr>
                <w:rFonts w:hint="eastAsia" w:ascii="宋体" w:hAnsi="宋体" w:eastAsia="宋体" w:cs="宋体"/>
                <w:kern w:val="0"/>
                <w:sz w:val="21"/>
                <w:szCs w:val="21"/>
                <w:lang w:bidi="ar"/>
              </w:rPr>
              <w:t>工程管理审计是对工程管理部门在建设工程项目实施全过程的履职情况进行监督、评价，包括管理的规范性、风险防控的适当性等方面。</w:t>
            </w:r>
          </w:p>
          <w:p w14:paraId="71CE93BC">
            <w:pPr>
              <w:spacing w:line="360" w:lineRule="auto"/>
              <w:rPr>
                <w:rFonts w:hint="eastAsia" w:ascii="宋体" w:hAnsi="宋体" w:eastAsia="宋体" w:cs="宋体"/>
                <w:kern w:val="0"/>
                <w:sz w:val="21"/>
                <w:szCs w:val="21"/>
                <w:lang w:bidi="ar"/>
              </w:rPr>
            </w:pPr>
            <w:r>
              <w:rPr>
                <w:rFonts w:hint="eastAsia" w:cs="宋体"/>
                <w:kern w:val="0"/>
                <w:sz w:val="21"/>
                <w:szCs w:val="21"/>
                <w:lang w:val="en-US" w:eastAsia="zh-CN" w:bidi="ar"/>
              </w:rPr>
              <w:t>2.</w:t>
            </w:r>
            <w:r>
              <w:rPr>
                <w:rFonts w:hint="eastAsia" w:ascii="宋体" w:hAnsi="宋体" w:eastAsia="宋体" w:cs="宋体"/>
                <w:kern w:val="0"/>
                <w:sz w:val="21"/>
                <w:szCs w:val="21"/>
                <w:lang w:bidi="ar"/>
              </w:rPr>
              <w:t>4工程造价审计是对建设工程各阶段工程造价进行审计，包括但不限于变更估价、经济签证、新增综合单价、材料设备价格、索赔事项及费用、工程进度款支付的审计等。</w:t>
            </w:r>
          </w:p>
          <w:p w14:paraId="09800434">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r>
              <w:rPr>
                <w:rFonts w:hint="eastAsia" w:ascii="宋体" w:hAnsi="宋体" w:eastAsia="宋体" w:cs="宋体"/>
                <w:kern w:val="0"/>
                <w:sz w:val="21"/>
                <w:szCs w:val="21"/>
                <w:lang w:val="en-US" w:eastAsia="zh-CN" w:bidi="ar"/>
              </w:rPr>
              <w:t>5</w:t>
            </w:r>
            <w:r>
              <w:rPr>
                <w:rFonts w:hint="eastAsia" w:ascii="宋体" w:hAnsi="宋体" w:eastAsia="宋体" w:cs="宋体"/>
                <w:kern w:val="0"/>
                <w:sz w:val="21"/>
                <w:szCs w:val="21"/>
                <w:lang w:bidi="ar"/>
              </w:rPr>
              <w:t>内部控制审计是对建设项目内部控制设计和运行的有效性，以及对项目在工期、质量、安全、成本、环境等各类风险的管控情况进行的审查和评价。包括但不限于建设工程归口管理情况、管理岗位设置与职责情况、建设工程施工准备阶段履行基本程序、执行有关政策等业务管理情况等。</w:t>
            </w:r>
          </w:p>
          <w:p w14:paraId="478FF776">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2.</w:t>
            </w:r>
            <w:r>
              <w:rPr>
                <w:rFonts w:hint="eastAsia" w:ascii="宋体" w:hAnsi="宋体" w:eastAsia="宋体" w:cs="宋体"/>
                <w:kern w:val="0"/>
                <w:sz w:val="21"/>
                <w:szCs w:val="21"/>
                <w:lang w:val="en-US" w:eastAsia="zh-CN" w:bidi="ar"/>
              </w:rPr>
              <w:t>6</w:t>
            </w:r>
            <w:r>
              <w:rPr>
                <w:rFonts w:hint="eastAsia" w:ascii="宋体" w:hAnsi="宋体" w:eastAsia="宋体" w:cs="宋体"/>
                <w:kern w:val="0"/>
                <w:sz w:val="21"/>
                <w:szCs w:val="21"/>
                <w:lang w:bidi="ar"/>
              </w:rPr>
              <w:t>配合完成学校审计处要求的其他工作任务。</w:t>
            </w:r>
          </w:p>
          <w:p w14:paraId="3EA7271B">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★3.服务要求</w:t>
            </w:r>
          </w:p>
          <w:p w14:paraId="2A1A0233">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3.1总体服务要求</w:t>
            </w:r>
          </w:p>
          <w:p w14:paraId="3D5409DC">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3.1.1供应商应遵循独立性、客观性、公正性原则和遵守职业道德规范，依法开展审计工作。不得将参审项目转包或分包给其他单位和个人。</w:t>
            </w:r>
          </w:p>
          <w:p w14:paraId="01356FC5">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3.1.2严格履行保密义务。对于涉及国家秘密、商业秘密的审计项目或者事项，以及在审计工作中知悉的工作秘密，应当严格执行相关保密规定。</w:t>
            </w:r>
          </w:p>
          <w:p w14:paraId="33836033">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3.1.3认真遵守审计“八不准”工作纪律：不准由被审计单位和个人报销或补贴住宿、餐饮、交通、通讯、医疗等费用；不准接受被审计单位和个人赠送的礼品礼金，或未经批准通过授课等方式获取报酬；不准参加被审计单位和个人安排的宴请、娱乐、旅游等活动；不准利用审计工作知悉的国家秘密、商业秘密和内部信息谋取利益；不准利用审计职权干预被审计单位依法管理的资金、资产、资源的审批或分配使用；不准向被审计单位推销商品或介绍业务；不准接受被审计单位和个人的请托干预审计工作；不准向被审计单位和个人提出任何与审计工作无关的要求。</w:t>
            </w:r>
          </w:p>
          <w:p w14:paraId="62E41F38">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3.1.4供应商和项目组成员在接受项目委托时，认为存在与被审计单位或审计事项有《中华人民共和国审计法实施条例》第十二条所列利害关系之一的，须主动向学校审计处提出回避申请。</w:t>
            </w:r>
          </w:p>
          <w:p w14:paraId="56671C9C">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3.1.5接受并服从学校制定或修订的相关管理办法及考核办法。</w:t>
            </w:r>
          </w:p>
          <w:p w14:paraId="6D5FF165">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3.1.6严格按照学校审计处规定的时间完成审计工作。因特殊情况不能在规定时间内完成审计任务的，报经学校审计处批准后，可适当延长审计时间。</w:t>
            </w:r>
          </w:p>
          <w:p w14:paraId="1C046465">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3.1.7项目负责人须具备较强的沟通协调能力、语言文字表达能力、专业胜任能力及丰富的工程项目审计工作经验。项目组成员在服务期内原则上固定不变，如有变化，需征得学校审计处同意。若项目组成员不称职、不合格、不能胜任其工作或违反审计工作纪律，学校审计处有权要求更换，供应商必须更换，由此造成的全部责任由供应商承担。</w:t>
            </w:r>
          </w:p>
          <w:p w14:paraId="51DBE9E7">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3.1.8供应商拟派的项目组成员应严格执行国家相关法律法规、行业规范，按要求编制工作记录和工作底稿，完整、准确、真实地反映并记录项目实施过程，做好各类资料、整理、归集、交接工作。</w:t>
            </w:r>
          </w:p>
          <w:p w14:paraId="63E14336">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3.1.9供应商应当建立健全受托项目质量内控机制，对过程中取得的证据资料、得出的结论严格进行层级复核，供应商和项目组成员应当对其工作结论、结果的真实性、准确性、完整性、合法性、合规性负</w:t>
            </w:r>
            <w:r>
              <w:rPr>
                <w:rFonts w:hint="eastAsia" w:ascii="宋体" w:hAnsi="宋体" w:eastAsia="宋体" w:cs="宋体"/>
                <w:kern w:val="0"/>
                <w:sz w:val="21"/>
                <w:szCs w:val="21"/>
                <w:highlight w:val="none"/>
                <w:lang w:bidi="ar"/>
              </w:rPr>
              <w:t>责。向学校出具的</w:t>
            </w:r>
            <w:r>
              <w:rPr>
                <w:rFonts w:hint="eastAsia" w:ascii="宋体" w:hAnsi="宋体" w:eastAsia="宋体" w:cs="宋体"/>
                <w:color w:val="auto"/>
                <w:kern w:val="0"/>
                <w:sz w:val="21"/>
                <w:szCs w:val="21"/>
                <w:highlight w:val="none"/>
                <w:lang w:bidi="ar"/>
              </w:rPr>
              <w:t>审计咨询意见或报告</w:t>
            </w:r>
            <w:r>
              <w:rPr>
                <w:rFonts w:hint="eastAsia" w:ascii="宋体" w:hAnsi="宋体" w:eastAsia="宋体" w:cs="宋体"/>
                <w:kern w:val="0"/>
                <w:sz w:val="21"/>
                <w:szCs w:val="21"/>
                <w:highlight w:val="none"/>
                <w:lang w:bidi="ar"/>
              </w:rPr>
              <w:t>等成果文件，应当由其法定代表人审签</w:t>
            </w:r>
            <w:r>
              <w:rPr>
                <w:rFonts w:hint="eastAsia" w:ascii="宋体" w:hAnsi="宋体" w:eastAsia="宋体" w:cs="宋体"/>
                <w:kern w:val="0"/>
                <w:sz w:val="21"/>
                <w:szCs w:val="21"/>
                <w:lang w:bidi="ar"/>
              </w:rPr>
              <w:t>，除加盖供应商单位公章、工程造价咨询企业执业印章外，还必须按要求加盖参加咨询工作人员的执业</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从业</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资格印章。</w:t>
            </w:r>
          </w:p>
          <w:p w14:paraId="384F8A45">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3.1.10学校审计处对供应商工作成果进行审核，经审核认为需要补查补证的事项，供应商应当按要求进行补充、完善。</w:t>
            </w:r>
          </w:p>
          <w:p w14:paraId="2DB45326">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3.1.11学校审计处对供应商实施受托项目实现审计目标、取得的审计成果、执行工作纪律等情况进行项目质量考评。</w:t>
            </w:r>
          </w:p>
          <w:p w14:paraId="03A96BAF">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3.1.12审计工作结束时，供应商应当完整交还过程中收到的所有资料，若有遗失或损坏，供应商应按《审计业务委托合同》约定承担相应赔偿责任及法律责任。同时，供应商应及时将审计实施过程中所形成的全部纸质资料</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包括但不限于审计取证单和相关资料、审计工作底稿、征求意见稿、被审计单位反馈意见等原件</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整理立卷，与完整的纸质版、电子版审计报告等审计成果文件一并移交学校审计处归档。</w:t>
            </w:r>
          </w:p>
          <w:p w14:paraId="03005082">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3.1.13学校审计处负责接收被审计单位对供应商和项目组成员的监督、举报，有权按照国家相关规定和《审计业务委托合同》，根据问题性质和情节轻重，分别采取终止其委托项目审计、列入不良合作记录名单、违反执业准则的向有关主管机关报告、造成损失的依法追究民事责任等措施。</w:t>
            </w:r>
          </w:p>
          <w:p w14:paraId="22957333">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3.2供应商办理受托审计事项流程</w:t>
            </w:r>
          </w:p>
          <w:p w14:paraId="060CDCA5">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3.2.1与学校签订《审计业务委托合同》，明确受托项目的审计目标、审计内容、职责权限、审计时限、廉政和保密要求、违约责任等相关事宜。</w:t>
            </w:r>
          </w:p>
          <w:p w14:paraId="27FC9BA7">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3.2.2组织人员按照学校相关要求开展</w:t>
            </w:r>
            <w:r>
              <w:rPr>
                <w:rFonts w:hint="eastAsia" w:ascii="宋体" w:hAnsi="宋体" w:eastAsia="宋体" w:cs="宋体"/>
                <w:kern w:val="0"/>
                <w:sz w:val="21"/>
                <w:szCs w:val="21"/>
                <w:lang w:val="en-US" w:eastAsia="zh-CN" w:bidi="ar"/>
              </w:rPr>
              <w:t>跟踪</w:t>
            </w:r>
            <w:r>
              <w:rPr>
                <w:rFonts w:hint="eastAsia" w:ascii="宋体" w:hAnsi="宋体" w:eastAsia="宋体" w:cs="宋体"/>
                <w:kern w:val="0"/>
                <w:sz w:val="21"/>
                <w:szCs w:val="21"/>
                <w:lang w:bidi="ar"/>
              </w:rPr>
              <w:t>审计</w:t>
            </w:r>
            <w:r>
              <w:rPr>
                <w:rFonts w:hint="eastAsia" w:ascii="宋体" w:hAnsi="宋体" w:eastAsia="宋体" w:cs="宋体"/>
                <w:color w:val="auto"/>
                <w:kern w:val="0"/>
                <w:sz w:val="21"/>
                <w:szCs w:val="21"/>
                <w:lang w:bidi="ar"/>
              </w:rPr>
              <w:t>。</w:t>
            </w:r>
          </w:p>
          <w:p w14:paraId="57669841">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3.2.3审计实施过程中需要由学校审计处协调、协助的审计资料交接、延伸审计调查等事项，及时向学校审计处报告。</w:t>
            </w:r>
          </w:p>
          <w:p w14:paraId="49E0CFA8">
            <w:pPr>
              <w:spacing w:line="360" w:lineRule="auto"/>
              <w:rPr>
                <w:rFonts w:hint="eastAsia" w:ascii="宋体" w:hAnsi="宋体" w:eastAsia="宋体" w:cs="宋体"/>
                <w:kern w:val="0"/>
                <w:sz w:val="21"/>
                <w:szCs w:val="21"/>
                <w:highlight w:val="none"/>
                <w:lang w:bidi="ar"/>
              </w:rPr>
            </w:pPr>
            <w:r>
              <w:rPr>
                <w:rFonts w:hint="eastAsia" w:ascii="宋体" w:hAnsi="宋体" w:eastAsia="宋体" w:cs="宋体"/>
                <w:kern w:val="0"/>
                <w:sz w:val="21"/>
                <w:szCs w:val="21"/>
                <w:lang w:bidi="ar"/>
              </w:rPr>
              <w:t>3.2.4按受托要求在学校审计系统中定期或不定期提交</w:t>
            </w:r>
            <w:r>
              <w:rPr>
                <w:rFonts w:hint="eastAsia" w:ascii="宋体" w:hAnsi="宋体" w:eastAsia="宋体" w:cs="宋体"/>
                <w:kern w:val="0"/>
                <w:sz w:val="21"/>
                <w:szCs w:val="21"/>
                <w:highlight w:val="none"/>
                <w:lang w:bidi="ar"/>
              </w:rPr>
              <w:t>各类审计资料、</w:t>
            </w:r>
            <w:r>
              <w:rPr>
                <w:rFonts w:hint="eastAsia" w:ascii="宋体" w:hAnsi="宋体" w:eastAsia="宋体" w:cs="宋体"/>
                <w:color w:val="auto"/>
                <w:kern w:val="0"/>
                <w:sz w:val="21"/>
                <w:szCs w:val="21"/>
                <w:highlight w:val="none"/>
                <w:lang w:bidi="ar"/>
              </w:rPr>
              <w:t>审计咨询意见或报告。</w:t>
            </w:r>
          </w:p>
          <w:p w14:paraId="5CC00B2B">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highlight w:val="none"/>
                <w:lang w:bidi="ar"/>
              </w:rPr>
              <w:t>3.2.5各类事项审计咨询意见或报告</w:t>
            </w:r>
            <w:r>
              <w:rPr>
                <w:rFonts w:hint="eastAsia" w:ascii="宋体" w:hAnsi="宋体" w:eastAsia="宋体" w:cs="宋体"/>
                <w:kern w:val="0"/>
                <w:sz w:val="21"/>
                <w:szCs w:val="21"/>
                <w:highlight w:val="none"/>
                <w:lang w:val="en-US" w:eastAsia="zh-CN" w:bidi="ar"/>
              </w:rPr>
              <w:t>须</w:t>
            </w:r>
            <w:r>
              <w:rPr>
                <w:rFonts w:hint="eastAsia" w:ascii="宋体" w:hAnsi="宋体" w:eastAsia="宋体" w:cs="宋体"/>
                <w:kern w:val="0"/>
                <w:sz w:val="21"/>
                <w:szCs w:val="21"/>
                <w:highlight w:val="none"/>
                <w:lang w:bidi="ar"/>
              </w:rPr>
              <w:t>经学校审计处审核</w:t>
            </w:r>
            <w:r>
              <w:rPr>
                <w:rFonts w:hint="eastAsia" w:ascii="宋体" w:hAnsi="宋体" w:eastAsia="宋体" w:cs="宋体"/>
                <w:kern w:val="0"/>
                <w:sz w:val="21"/>
                <w:szCs w:val="21"/>
                <w:lang w:bidi="ar"/>
              </w:rPr>
              <w:t>通过。</w:t>
            </w:r>
          </w:p>
          <w:p w14:paraId="73028934">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3.3工程项目审计任务基本要求</w:t>
            </w:r>
          </w:p>
          <w:p w14:paraId="71A195B3">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3.3.1供应商必须遵照国家、省、市有关法律法规、技术标准、行业准则和有关政策的规定，认真履行工作职责，接受学校的管理和监督，做到独立、公平客观、公正执业</w:t>
            </w:r>
            <w:r>
              <w:rPr>
                <w:rFonts w:hint="eastAsia" w:ascii="宋体" w:hAnsi="宋体" w:eastAsia="宋体" w:cs="宋体"/>
                <w:kern w:val="0"/>
                <w:sz w:val="21"/>
                <w:szCs w:val="21"/>
                <w:highlight w:val="none"/>
                <w:lang w:bidi="ar"/>
              </w:rPr>
              <w:t>，对</w:t>
            </w:r>
            <w:r>
              <w:rPr>
                <w:rFonts w:hint="eastAsia" w:ascii="宋体" w:hAnsi="宋体" w:eastAsia="宋体" w:cs="宋体"/>
                <w:color w:val="auto"/>
                <w:kern w:val="0"/>
                <w:sz w:val="21"/>
                <w:szCs w:val="21"/>
                <w:highlight w:val="none"/>
                <w:lang w:bidi="ar"/>
              </w:rPr>
              <w:t>审计咨询意见或报告</w:t>
            </w:r>
            <w:r>
              <w:rPr>
                <w:rFonts w:hint="eastAsia" w:ascii="宋体" w:hAnsi="宋体" w:eastAsia="宋体" w:cs="宋体"/>
                <w:kern w:val="0"/>
                <w:sz w:val="21"/>
                <w:szCs w:val="21"/>
                <w:highlight w:val="none"/>
                <w:lang w:bidi="ar"/>
              </w:rPr>
              <w:t>承担经济和法律</w:t>
            </w:r>
            <w:r>
              <w:rPr>
                <w:rFonts w:hint="eastAsia" w:ascii="宋体" w:hAnsi="宋体" w:eastAsia="宋体" w:cs="宋体"/>
                <w:kern w:val="0"/>
                <w:sz w:val="21"/>
                <w:szCs w:val="21"/>
                <w:lang w:bidi="ar"/>
              </w:rPr>
              <w:t>责任。</w:t>
            </w:r>
          </w:p>
          <w:p w14:paraId="02C3DB3C">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3.3.2供应商开展的跟踪审计工作应规范有序，有利于控制建设工程项目造价和规范建设工程管理行为，并有利于各司其职和协作、配合。</w:t>
            </w:r>
          </w:p>
          <w:p w14:paraId="41D6D8C9">
            <w:pPr>
              <w:spacing w:line="360" w:lineRule="auto"/>
              <w:rPr>
                <w:rFonts w:hint="eastAsia" w:ascii="宋体" w:hAnsi="宋体" w:eastAsia="宋体" w:cs="宋体"/>
                <w:strike w:val="0"/>
                <w:dstrike w:val="0"/>
                <w:color w:val="auto"/>
                <w:kern w:val="0"/>
                <w:sz w:val="21"/>
                <w:szCs w:val="21"/>
                <w:lang w:bidi="ar"/>
              </w:rPr>
            </w:pPr>
            <w:r>
              <w:rPr>
                <w:rFonts w:hint="eastAsia" w:ascii="宋体" w:hAnsi="宋体" w:eastAsia="宋体" w:cs="宋体"/>
                <w:strike w:val="0"/>
                <w:dstrike w:val="0"/>
                <w:color w:val="auto"/>
                <w:kern w:val="0"/>
                <w:sz w:val="21"/>
                <w:szCs w:val="21"/>
                <w:lang w:bidi="ar"/>
              </w:rPr>
              <w:t>3.3.3供应商应认真做好与建设单位、设计单位等相关单位的沟通与协调工作，采纳对履行工作职责有益的建议，不断优化工作方案和改进工作。</w:t>
            </w:r>
          </w:p>
          <w:p w14:paraId="71E77D13">
            <w:pPr>
              <w:spacing w:line="360" w:lineRule="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3.3.</w:t>
            </w:r>
            <w:r>
              <w:rPr>
                <w:rFonts w:hint="eastAsia" w:ascii="宋体" w:hAnsi="宋体" w:eastAsia="宋体" w:cs="宋体"/>
                <w:color w:val="auto"/>
                <w:kern w:val="0"/>
                <w:sz w:val="21"/>
                <w:szCs w:val="21"/>
                <w:lang w:val="en-US" w:eastAsia="zh-CN" w:bidi="ar"/>
              </w:rPr>
              <w:t>4</w:t>
            </w:r>
            <w:r>
              <w:rPr>
                <w:rFonts w:hint="eastAsia" w:ascii="宋体" w:hAnsi="宋体" w:eastAsia="宋体" w:cs="宋体"/>
                <w:color w:val="auto"/>
                <w:kern w:val="0"/>
                <w:sz w:val="21"/>
                <w:szCs w:val="21"/>
                <w:lang w:bidi="ar"/>
              </w:rPr>
              <w:t>供应商必须按照建设工程项目</w:t>
            </w:r>
            <w:r>
              <w:rPr>
                <w:rFonts w:hint="eastAsia" w:ascii="宋体" w:hAnsi="宋体" w:eastAsia="宋体" w:cs="宋体"/>
                <w:color w:val="auto"/>
                <w:kern w:val="0"/>
                <w:sz w:val="21"/>
                <w:szCs w:val="21"/>
                <w:lang w:val="en-US" w:eastAsia="zh-CN" w:bidi="ar"/>
              </w:rPr>
              <w:t>跟踪审计</w:t>
            </w:r>
            <w:r>
              <w:rPr>
                <w:rFonts w:hint="eastAsia" w:ascii="宋体" w:hAnsi="宋体" w:eastAsia="宋体" w:cs="宋体"/>
                <w:color w:val="auto"/>
                <w:kern w:val="0"/>
                <w:sz w:val="21"/>
                <w:szCs w:val="21"/>
                <w:lang w:bidi="ar"/>
              </w:rPr>
              <w:t>任务的要求，配备项目组成员。</w:t>
            </w:r>
          </w:p>
          <w:p w14:paraId="6F3FF84C">
            <w:pPr>
              <w:spacing w:line="360" w:lineRule="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val="en-US" w:eastAsia="zh-CN" w:bidi="ar"/>
              </w:rPr>
              <w:t>3.3.5</w:t>
            </w:r>
            <w:r>
              <w:rPr>
                <w:rFonts w:hint="eastAsia" w:ascii="宋体" w:hAnsi="宋体" w:eastAsia="宋体" w:cs="宋体"/>
                <w:color w:val="auto"/>
                <w:kern w:val="0"/>
                <w:sz w:val="21"/>
                <w:szCs w:val="21"/>
                <w:lang w:bidi="ar"/>
              </w:rPr>
              <w:t>供应商应根据本建设工程项目施工进度情况，充分考虑实施跟踪审计任务的需要，派出承诺的项目组成员驻场履行职责。</w:t>
            </w:r>
          </w:p>
          <w:p w14:paraId="34AF264C">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1</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项目组成员应参加学校审计处召开的协调会议，解决</w:t>
            </w:r>
            <w:r>
              <w:rPr>
                <w:rFonts w:hint="eastAsia" w:ascii="宋体" w:hAnsi="宋体" w:eastAsia="宋体" w:cs="宋体"/>
                <w:kern w:val="0"/>
                <w:sz w:val="21"/>
                <w:szCs w:val="21"/>
                <w:lang w:val="en-US" w:eastAsia="zh-CN" w:bidi="ar"/>
              </w:rPr>
              <w:t>跟踪审计</w:t>
            </w:r>
            <w:r>
              <w:rPr>
                <w:rFonts w:hint="eastAsia" w:ascii="宋体" w:hAnsi="宋体" w:eastAsia="宋体" w:cs="宋体"/>
                <w:kern w:val="0"/>
                <w:sz w:val="21"/>
                <w:szCs w:val="21"/>
                <w:lang w:bidi="ar"/>
              </w:rPr>
              <w:t>过程中的重大问题；接受学校的监督和评审，对评审后发现的问题及时整改，并将整改情况向学校审计处书面报告。</w:t>
            </w:r>
          </w:p>
          <w:p w14:paraId="4D22351E">
            <w:pPr>
              <w:spacing w:line="360" w:lineRule="auto"/>
              <w:rPr>
                <w:rFonts w:hint="eastAsia" w:ascii="宋体" w:hAnsi="宋体" w:eastAsia="宋体" w:cs="宋体"/>
                <w:kern w:val="0"/>
                <w:sz w:val="21"/>
                <w:szCs w:val="21"/>
                <w:highlight w:val="none"/>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2</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项目组成员应参加学校建设管理单位召开的联席、协调等会议，了解情况，提</w:t>
            </w:r>
            <w:r>
              <w:rPr>
                <w:rFonts w:hint="eastAsia" w:ascii="宋体" w:hAnsi="宋体" w:eastAsia="宋体" w:cs="宋体"/>
                <w:kern w:val="0"/>
                <w:sz w:val="21"/>
                <w:szCs w:val="21"/>
                <w:highlight w:val="none"/>
                <w:lang w:bidi="ar"/>
              </w:rPr>
              <w:t>出</w:t>
            </w:r>
            <w:r>
              <w:rPr>
                <w:rFonts w:hint="eastAsia" w:ascii="宋体" w:hAnsi="宋体" w:eastAsia="宋体" w:cs="宋体"/>
                <w:kern w:val="0"/>
                <w:sz w:val="21"/>
                <w:szCs w:val="21"/>
                <w:highlight w:val="none"/>
                <w:lang w:val="en-US" w:eastAsia="zh-CN" w:bidi="ar"/>
              </w:rPr>
              <w:t>审计</w:t>
            </w:r>
            <w:r>
              <w:rPr>
                <w:rFonts w:hint="eastAsia" w:ascii="宋体" w:hAnsi="宋体" w:eastAsia="宋体" w:cs="宋体"/>
                <w:kern w:val="0"/>
                <w:sz w:val="21"/>
                <w:szCs w:val="21"/>
                <w:highlight w:val="none"/>
                <w:lang w:bidi="ar"/>
              </w:rPr>
              <w:t>咨询意见建议。</w:t>
            </w:r>
          </w:p>
          <w:p w14:paraId="159FB5B9">
            <w:pPr>
              <w:spacing w:line="360" w:lineRule="auto"/>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eastAsia="zh-CN" w:bidi="ar"/>
              </w:rPr>
              <w:t>(</w:t>
            </w:r>
            <w:r>
              <w:rPr>
                <w:rFonts w:hint="eastAsia" w:ascii="宋体" w:hAnsi="宋体" w:eastAsia="宋体" w:cs="宋体"/>
                <w:kern w:val="0"/>
                <w:sz w:val="21"/>
                <w:szCs w:val="21"/>
                <w:highlight w:val="none"/>
                <w:lang w:val="en-US" w:eastAsia="zh-CN" w:bidi="ar"/>
              </w:rPr>
              <w:t>3</w:t>
            </w:r>
            <w:r>
              <w:rPr>
                <w:rFonts w:hint="eastAsia" w:ascii="宋体" w:hAnsi="宋体" w:eastAsia="宋体" w:cs="宋体"/>
                <w:kern w:val="0"/>
                <w:sz w:val="21"/>
                <w:szCs w:val="21"/>
                <w:highlight w:val="none"/>
                <w:lang w:eastAsia="zh-CN" w:bidi="ar"/>
              </w:rPr>
              <w:t>)</w:t>
            </w:r>
            <w:r>
              <w:rPr>
                <w:rFonts w:hint="eastAsia" w:ascii="宋体" w:hAnsi="宋体" w:eastAsia="宋体" w:cs="宋体"/>
                <w:kern w:val="0"/>
                <w:sz w:val="21"/>
                <w:szCs w:val="21"/>
                <w:highlight w:val="none"/>
                <w:lang w:bidi="ar"/>
              </w:rPr>
              <w:t>项目组成员应按照本建设工程项目跟踪审计任务的要求，随时查勘现场，了解施工情况，及时提交</w:t>
            </w:r>
            <w:r>
              <w:rPr>
                <w:rFonts w:hint="eastAsia" w:ascii="宋体" w:hAnsi="宋体" w:eastAsia="宋体" w:cs="宋体"/>
                <w:color w:val="auto"/>
                <w:kern w:val="0"/>
                <w:sz w:val="21"/>
                <w:szCs w:val="21"/>
                <w:highlight w:val="none"/>
                <w:lang w:bidi="ar"/>
              </w:rPr>
              <w:t>审计咨询意见或报告</w:t>
            </w:r>
            <w:r>
              <w:rPr>
                <w:rFonts w:hint="eastAsia" w:ascii="宋体" w:hAnsi="宋体" w:eastAsia="宋体" w:cs="宋体"/>
                <w:kern w:val="0"/>
                <w:sz w:val="21"/>
                <w:szCs w:val="21"/>
                <w:highlight w:val="none"/>
                <w:lang w:bidi="ar"/>
              </w:rPr>
              <w:t>，并及时处理跟踪审计中的问题。</w:t>
            </w:r>
          </w:p>
          <w:p w14:paraId="4E12B58E">
            <w:pPr>
              <w:spacing w:line="360" w:lineRule="auto"/>
              <w:rPr>
                <w:rFonts w:hint="eastAsia" w:ascii="宋体" w:hAnsi="宋体" w:eastAsia="宋体" w:cs="宋体"/>
                <w:kern w:val="0"/>
                <w:sz w:val="21"/>
                <w:szCs w:val="21"/>
                <w:highlight w:val="none"/>
                <w:lang w:eastAsia="zh-CN" w:bidi="ar"/>
              </w:rPr>
            </w:pPr>
            <w:r>
              <w:rPr>
                <w:rFonts w:hint="eastAsia" w:ascii="宋体" w:hAnsi="宋体" w:eastAsia="宋体" w:cs="宋体"/>
                <w:kern w:val="0"/>
                <w:sz w:val="21"/>
                <w:szCs w:val="21"/>
                <w:highlight w:val="none"/>
                <w:lang w:eastAsia="zh-CN" w:bidi="ar"/>
              </w:rPr>
              <w:t>(</w:t>
            </w:r>
            <w:r>
              <w:rPr>
                <w:rFonts w:hint="eastAsia" w:ascii="宋体" w:hAnsi="宋体" w:eastAsia="宋体" w:cs="宋体"/>
                <w:kern w:val="0"/>
                <w:sz w:val="21"/>
                <w:szCs w:val="21"/>
                <w:highlight w:val="none"/>
                <w:lang w:val="en-US" w:eastAsia="zh-CN" w:bidi="ar"/>
              </w:rPr>
              <w:t>4</w:t>
            </w:r>
            <w:r>
              <w:rPr>
                <w:rFonts w:hint="eastAsia" w:ascii="宋体" w:hAnsi="宋体" w:eastAsia="宋体" w:cs="宋体"/>
                <w:kern w:val="0"/>
                <w:sz w:val="21"/>
                <w:szCs w:val="21"/>
                <w:highlight w:val="none"/>
                <w:lang w:eastAsia="zh-CN" w:bidi="ar"/>
              </w:rPr>
              <w:t>)每</w:t>
            </w:r>
            <w:r>
              <w:rPr>
                <w:rFonts w:hint="eastAsia" w:cs="宋体"/>
                <w:kern w:val="0"/>
                <w:sz w:val="21"/>
                <w:szCs w:val="21"/>
                <w:highlight w:val="none"/>
                <w:lang w:val="en-US" w:eastAsia="zh-CN" w:bidi="ar"/>
              </w:rPr>
              <w:t>周一</w:t>
            </w:r>
            <w:r>
              <w:rPr>
                <w:rFonts w:hint="eastAsia" w:ascii="宋体" w:hAnsi="宋体" w:eastAsia="宋体" w:cs="宋体"/>
                <w:kern w:val="0"/>
                <w:sz w:val="21"/>
                <w:szCs w:val="21"/>
                <w:highlight w:val="none"/>
                <w:lang w:eastAsia="zh-CN" w:bidi="ar"/>
              </w:rPr>
              <w:t>向学校审计处提交</w:t>
            </w:r>
            <w:r>
              <w:rPr>
                <w:rFonts w:hint="eastAsia" w:cs="宋体"/>
                <w:kern w:val="0"/>
                <w:sz w:val="21"/>
                <w:szCs w:val="21"/>
                <w:highlight w:val="none"/>
                <w:lang w:val="en-US" w:eastAsia="zh-CN" w:bidi="ar"/>
              </w:rPr>
              <w:t>1</w:t>
            </w:r>
            <w:r>
              <w:rPr>
                <w:rFonts w:hint="eastAsia" w:ascii="宋体" w:hAnsi="宋体" w:eastAsia="宋体" w:cs="宋体"/>
                <w:kern w:val="0"/>
                <w:sz w:val="21"/>
                <w:szCs w:val="21"/>
                <w:highlight w:val="none"/>
                <w:lang w:eastAsia="zh-CN" w:bidi="ar"/>
              </w:rPr>
              <w:t>份上一</w:t>
            </w:r>
            <w:r>
              <w:rPr>
                <w:rFonts w:hint="eastAsia" w:cs="宋体"/>
                <w:kern w:val="0"/>
                <w:sz w:val="21"/>
                <w:szCs w:val="21"/>
                <w:highlight w:val="none"/>
                <w:lang w:val="en-US" w:eastAsia="zh-CN" w:bidi="ar"/>
              </w:rPr>
              <w:t>周</w:t>
            </w:r>
            <w:r>
              <w:rPr>
                <w:rFonts w:hint="eastAsia" w:ascii="宋体" w:hAnsi="宋体" w:eastAsia="宋体" w:cs="宋体"/>
                <w:kern w:val="0"/>
                <w:sz w:val="21"/>
                <w:szCs w:val="21"/>
                <w:highlight w:val="none"/>
                <w:lang w:eastAsia="zh-CN" w:bidi="ar"/>
              </w:rPr>
              <w:t>的手续完善的</w:t>
            </w:r>
            <w:r>
              <w:rPr>
                <w:rFonts w:hint="eastAsia" w:ascii="宋体" w:hAnsi="宋体" w:eastAsia="宋体" w:cs="宋体"/>
                <w:kern w:val="0"/>
                <w:sz w:val="21"/>
                <w:szCs w:val="21"/>
                <w:highlight w:val="none"/>
                <w:lang w:val="en-US" w:eastAsia="zh-CN" w:bidi="ar"/>
              </w:rPr>
              <w:t>跟踪审计</w:t>
            </w:r>
            <w:r>
              <w:rPr>
                <w:rFonts w:hint="eastAsia" w:cs="宋体"/>
                <w:kern w:val="0"/>
                <w:sz w:val="21"/>
                <w:szCs w:val="21"/>
                <w:highlight w:val="none"/>
                <w:lang w:val="en-US" w:eastAsia="zh-CN" w:bidi="ar"/>
              </w:rPr>
              <w:t>周报</w:t>
            </w:r>
            <w:r>
              <w:rPr>
                <w:rFonts w:hint="eastAsia" w:ascii="宋体" w:hAnsi="宋体" w:eastAsia="宋体" w:cs="宋体"/>
                <w:kern w:val="0"/>
                <w:sz w:val="21"/>
                <w:szCs w:val="21"/>
                <w:highlight w:val="none"/>
                <w:lang w:eastAsia="zh-CN" w:bidi="ar"/>
              </w:rPr>
              <w:t>。</w:t>
            </w:r>
          </w:p>
          <w:p w14:paraId="784CCDAF">
            <w:pPr>
              <w:spacing w:line="360" w:lineRule="auto"/>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eastAsia="zh-CN" w:bidi="ar"/>
              </w:rPr>
              <w:t>(</w:t>
            </w:r>
            <w:r>
              <w:rPr>
                <w:rFonts w:hint="eastAsia" w:ascii="宋体" w:hAnsi="宋体" w:eastAsia="宋体" w:cs="宋体"/>
                <w:kern w:val="0"/>
                <w:sz w:val="21"/>
                <w:szCs w:val="21"/>
                <w:highlight w:val="none"/>
                <w:lang w:val="en-US" w:eastAsia="zh-CN" w:bidi="ar"/>
              </w:rPr>
              <w:t>5</w:t>
            </w:r>
            <w:r>
              <w:rPr>
                <w:rFonts w:hint="eastAsia" w:ascii="宋体" w:hAnsi="宋体" w:eastAsia="宋体" w:cs="宋体"/>
                <w:kern w:val="0"/>
                <w:sz w:val="21"/>
                <w:szCs w:val="21"/>
                <w:highlight w:val="none"/>
                <w:lang w:eastAsia="zh-CN" w:bidi="ar"/>
              </w:rPr>
              <w:t>)节点工程完工后</w:t>
            </w:r>
            <w:r>
              <w:rPr>
                <w:rFonts w:hint="eastAsia" w:ascii="宋体" w:hAnsi="宋体" w:eastAsia="宋体" w:cs="宋体"/>
                <w:kern w:val="0"/>
                <w:sz w:val="21"/>
                <w:szCs w:val="21"/>
                <w:highlight w:val="none"/>
                <w:lang w:val="en-US" w:eastAsia="zh-CN" w:bidi="ar"/>
              </w:rPr>
              <w:t>及时</w:t>
            </w:r>
            <w:r>
              <w:rPr>
                <w:rFonts w:hint="eastAsia" w:ascii="宋体" w:hAnsi="宋体" w:eastAsia="宋体" w:cs="宋体"/>
                <w:kern w:val="0"/>
                <w:sz w:val="21"/>
                <w:szCs w:val="21"/>
                <w:highlight w:val="none"/>
                <w:lang w:eastAsia="zh-CN" w:bidi="ar"/>
              </w:rPr>
              <w:t>向学校审计处提交二份手续完善的《工程造价控制与工程管理</w:t>
            </w:r>
            <w:r>
              <w:rPr>
                <w:rFonts w:hint="eastAsia" w:ascii="宋体" w:hAnsi="宋体" w:eastAsia="宋体" w:cs="宋体"/>
                <w:kern w:val="0"/>
                <w:sz w:val="21"/>
                <w:szCs w:val="21"/>
                <w:highlight w:val="none"/>
                <w:lang w:val="en-US" w:eastAsia="zh-CN" w:bidi="ar"/>
              </w:rPr>
              <w:t>评价报告</w:t>
            </w:r>
            <w:r>
              <w:rPr>
                <w:rFonts w:hint="eastAsia" w:ascii="宋体" w:hAnsi="宋体" w:eastAsia="宋体" w:cs="宋体"/>
                <w:kern w:val="0"/>
                <w:sz w:val="21"/>
                <w:szCs w:val="21"/>
                <w:highlight w:val="none"/>
                <w:lang w:eastAsia="zh-CN" w:bidi="ar"/>
              </w:rPr>
              <w:t>》。</w:t>
            </w:r>
            <w:r>
              <w:rPr>
                <w:rFonts w:hint="eastAsia" w:ascii="宋体" w:hAnsi="宋体" w:eastAsia="宋体" w:cs="宋体"/>
                <w:kern w:val="0"/>
                <w:sz w:val="21"/>
                <w:szCs w:val="21"/>
                <w:highlight w:val="none"/>
                <w:lang w:val="en-US" w:eastAsia="zh-CN" w:bidi="ar"/>
              </w:rPr>
              <w:t>报告内容包括但不限于：造价变动测算情况，实际工程量与清单工程量差异，工程管理是否按相关制度规定执行，是否按图施工，进场材料设备是否符合要求，隐蔽工程是否真实发生等。</w:t>
            </w:r>
          </w:p>
          <w:p w14:paraId="36B4332D">
            <w:pPr>
              <w:spacing w:line="360" w:lineRule="auto"/>
              <w:rPr>
                <w:rFonts w:hint="eastAsia" w:ascii="宋体" w:hAnsi="宋体" w:eastAsia="宋体" w:cs="宋体"/>
                <w:kern w:val="0"/>
                <w:sz w:val="21"/>
                <w:szCs w:val="21"/>
                <w:highlight w:val="none"/>
                <w:lang w:eastAsia="zh-CN" w:bidi="ar"/>
              </w:rPr>
            </w:pPr>
            <w:r>
              <w:rPr>
                <w:rFonts w:hint="eastAsia" w:ascii="宋体" w:hAnsi="宋体" w:eastAsia="宋体" w:cs="宋体"/>
                <w:kern w:val="0"/>
                <w:sz w:val="21"/>
                <w:szCs w:val="21"/>
                <w:highlight w:val="none"/>
                <w:lang w:eastAsia="zh-CN" w:bidi="ar"/>
              </w:rPr>
              <w:t>(</w:t>
            </w:r>
            <w:r>
              <w:rPr>
                <w:rFonts w:hint="eastAsia" w:ascii="宋体" w:hAnsi="宋体" w:eastAsia="宋体" w:cs="宋体"/>
                <w:kern w:val="0"/>
                <w:sz w:val="21"/>
                <w:szCs w:val="21"/>
                <w:highlight w:val="none"/>
                <w:lang w:val="en-US" w:eastAsia="zh-CN" w:bidi="ar"/>
              </w:rPr>
              <w:t>6</w:t>
            </w:r>
            <w:r>
              <w:rPr>
                <w:rFonts w:hint="eastAsia" w:ascii="宋体" w:hAnsi="宋体" w:eastAsia="宋体" w:cs="宋体"/>
                <w:kern w:val="0"/>
                <w:sz w:val="21"/>
                <w:szCs w:val="21"/>
                <w:highlight w:val="none"/>
                <w:lang w:eastAsia="zh-CN" w:bidi="ar"/>
              </w:rPr>
              <w:t>)对在跟踪审计中发现的工程造价重大变化等问题，必须及时向学校审计处提交二份手续完善的处理建议和审核报告。</w:t>
            </w:r>
          </w:p>
          <w:p w14:paraId="1C1755E1">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val="en-US" w:eastAsia="zh-CN" w:bidi="ar"/>
              </w:rPr>
              <w:t>7</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项目组成员应认真填写《跟踪审计日志》、审计工作底稿、咨询和审核意见以及审计处理建议等过程审计资料，不得遗漏、虚构、隐匿、毁弃，更不得随意修改。供应商及其项目组成员应对上述审计工作资料的真实性、完整性、准确性负责。</w:t>
            </w:r>
          </w:p>
          <w:p w14:paraId="48E3E838">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★4.项目质量要求</w:t>
            </w:r>
          </w:p>
          <w:p w14:paraId="3272AF08">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4.1除满足《建设工程造价咨询规范》</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GB/T51095</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、《建设工程造价咨询成果文件质量标准》</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CECA/GC7)和《四川省工程造价咨询服务标准》</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川建价师协[2017]11号</w:t>
            </w:r>
            <w:r>
              <w:rPr>
                <w:rFonts w:hint="eastAsia" w:ascii="宋体" w:hAnsi="宋体" w:eastAsia="宋体" w:cs="宋体"/>
                <w:kern w:val="0"/>
                <w:sz w:val="21"/>
                <w:szCs w:val="21"/>
                <w:lang w:eastAsia="zh-CN" w:bidi="ar"/>
              </w:rPr>
              <w:t>)</w:t>
            </w:r>
            <w:r>
              <w:rPr>
                <w:rFonts w:hint="eastAsia" w:ascii="宋体" w:hAnsi="宋体" w:eastAsia="宋体" w:cs="宋体"/>
                <w:kern w:val="0"/>
                <w:sz w:val="21"/>
                <w:szCs w:val="21"/>
                <w:lang w:bidi="ar"/>
              </w:rPr>
              <w:t>等国家、省、市相关法规制度要求标准外，还应严格执行《审计法》《审计法实施条例》《审计准则》等相关审计法律、法规、规章，遵守行业执业准则、职业道德规范和廉洁从业纪律规定。</w:t>
            </w:r>
          </w:p>
          <w:p w14:paraId="573B8E17">
            <w:pPr>
              <w:spacing w:line="360" w:lineRule="auto"/>
              <w:rPr>
                <w:rFonts w:hint="eastAsia" w:ascii="宋体" w:hAnsi="宋体" w:eastAsia="宋体" w:cs="宋体"/>
                <w:strike w:val="0"/>
                <w:dstrike w:val="0"/>
                <w:color w:val="auto"/>
                <w:kern w:val="0"/>
                <w:sz w:val="21"/>
                <w:szCs w:val="21"/>
                <w:highlight w:val="none"/>
                <w:lang w:eastAsia="zh-CN" w:bidi="ar"/>
              </w:rPr>
            </w:pPr>
            <w:r>
              <w:rPr>
                <w:rFonts w:hint="eastAsia" w:ascii="宋体" w:hAnsi="宋体" w:eastAsia="宋体" w:cs="宋体"/>
                <w:strike w:val="0"/>
                <w:dstrike w:val="0"/>
                <w:color w:val="auto"/>
                <w:kern w:val="0"/>
                <w:sz w:val="21"/>
                <w:szCs w:val="21"/>
                <w:highlight w:val="none"/>
                <w:lang w:bidi="ar"/>
              </w:rPr>
              <w:t>4.2供应商所出具的各类审核结果与复审结果</w:t>
            </w:r>
            <w:r>
              <w:rPr>
                <w:rFonts w:hint="eastAsia" w:ascii="宋体" w:hAnsi="宋体" w:eastAsia="宋体" w:cs="宋体"/>
                <w:strike w:val="0"/>
                <w:dstrike w:val="0"/>
                <w:color w:val="auto"/>
                <w:kern w:val="0"/>
                <w:sz w:val="21"/>
                <w:szCs w:val="21"/>
                <w:highlight w:val="none"/>
                <w:lang w:eastAsia="zh-CN" w:bidi="ar"/>
              </w:rPr>
              <w:t>(</w:t>
            </w:r>
            <w:r>
              <w:rPr>
                <w:rFonts w:hint="eastAsia" w:ascii="宋体" w:hAnsi="宋体" w:eastAsia="宋体" w:cs="宋体"/>
                <w:strike w:val="0"/>
                <w:dstrike w:val="0"/>
                <w:color w:val="auto"/>
                <w:kern w:val="0"/>
                <w:sz w:val="21"/>
                <w:szCs w:val="21"/>
                <w:highlight w:val="none"/>
                <w:lang w:bidi="ar"/>
              </w:rPr>
              <w:t>含政府评审、国家审计等审计结果</w:t>
            </w:r>
            <w:r>
              <w:rPr>
                <w:rFonts w:hint="eastAsia" w:ascii="宋体" w:hAnsi="宋体" w:eastAsia="宋体" w:cs="宋体"/>
                <w:strike w:val="0"/>
                <w:dstrike w:val="0"/>
                <w:color w:val="auto"/>
                <w:kern w:val="0"/>
                <w:sz w:val="21"/>
                <w:szCs w:val="21"/>
                <w:highlight w:val="none"/>
                <w:lang w:eastAsia="zh-CN" w:bidi="ar"/>
              </w:rPr>
              <w:t>)</w:t>
            </w:r>
            <w:r>
              <w:rPr>
                <w:rFonts w:hint="eastAsia" w:ascii="宋体" w:hAnsi="宋体" w:eastAsia="宋体" w:cs="宋体"/>
                <w:strike w:val="0"/>
                <w:dstrike w:val="0"/>
                <w:color w:val="auto"/>
                <w:kern w:val="0"/>
                <w:sz w:val="21"/>
                <w:szCs w:val="21"/>
                <w:highlight w:val="none"/>
                <w:lang w:bidi="ar"/>
              </w:rPr>
              <w:t>的误差不得超过3%。</w:t>
            </w:r>
            <w:r>
              <w:rPr>
                <w:rFonts w:hint="eastAsia" w:ascii="宋体" w:hAnsi="宋体" w:eastAsia="宋体" w:cs="宋体"/>
                <w:strike w:val="0"/>
                <w:dstrike w:val="0"/>
                <w:color w:val="auto"/>
                <w:kern w:val="0"/>
                <w:sz w:val="21"/>
                <w:szCs w:val="21"/>
                <w:highlight w:val="none"/>
                <w:lang w:val="en-US" w:eastAsia="zh-CN" w:bidi="ar"/>
              </w:rPr>
              <w:t>若结算审计时发现进度款、经济签证、新增综合单价等审核结果与最终审计结果差异较大，学校有权根据合同约定进行扣款处罚。</w:t>
            </w:r>
            <w:r>
              <w:rPr>
                <w:rFonts w:hint="eastAsia" w:ascii="宋体" w:hAnsi="宋体" w:eastAsia="宋体" w:cs="宋体"/>
                <w:strike w:val="0"/>
                <w:dstrike w:val="0"/>
                <w:color w:val="auto"/>
                <w:kern w:val="0"/>
                <w:sz w:val="21"/>
                <w:szCs w:val="21"/>
                <w:highlight w:val="none"/>
                <w:lang w:bidi="ar"/>
              </w:rPr>
              <w:t>若因供应商原因给学校造成损失的，供应商应当承担赔偿责任，学校有权按照有关法律、法规追究供应商其他责任</w:t>
            </w:r>
            <w:r>
              <w:rPr>
                <w:rFonts w:hint="eastAsia" w:ascii="宋体" w:hAnsi="宋体" w:eastAsia="宋体" w:cs="宋体"/>
                <w:strike w:val="0"/>
                <w:dstrike w:val="0"/>
                <w:color w:val="auto"/>
                <w:kern w:val="0"/>
                <w:sz w:val="21"/>
                <w:szCs w:val="21"/>
                <w:highlight w:val="none"/>
                <w:lang w:eastAsia="zh-CN" w:bidi="ar"/>
              </w:rPr>
              <w:t>。</w:t>
            </w:r>
          </w:p>
          <w:p w14:paraId="5824FD82">
            <w:pPr>
              <w:spacing w:line="360" w:lineRule="auto"/>
              <w:rPr>
                <w:rFonts w:hint="eastAsia" w:ascii="宋体" w:hAnsi="宋体" w:eastAsia="宋体" w:cs="宋体"/>
                <w:color w:val="auto"/>
                <w:kern w:val="0"/>
                <w:sz w:val="21"/>
                <w:szCs w:val="21"/>
                <w:highlight w:val="none"/>
                <w:lang w:bidi="ar"/>
              </w:rPr>
            </w:pPr>
            <w:r>
              <w:rPr>
                <w:rFonts w:hint="eastAsia" w:ascii="宋体" w:hAnsi="宋体" w:eastAsia="宋体" w:cs="宋体"/>
                <w:color w:val="auto"/>
                <w:kern w:val="0"/>
                <w:sz w:val="21"/>
                <w:szCs w:val="21"/>
                <w:highlight w:val="none"/>
                <w:lang w:bidi="ar"/>
              </w:rPr>
              <w:t>★5.人员要求</w:t>
            </w:r>
          </w:p>
          <w:p w14:paraId="280CF4E1">
            <w:pPr>
              <w:spacing w:line="360" w:lineRule="auto"/>
              <w:rPr>
                <w:rFonts w:hint="eastAsia" w:ascii="宋体" w:hAnsi="宋体" w:eastAsia="宋体" w:cs="宋体"/>
                <w:kern w:val="0"/>
                <w:sz w:val="21"/>
                <w:szCs w:val="21"/>
                <w:lang w:eastAsia="zh-CN" w:bidi="ar"/>
              </w:rPr>
            </w:pPr>
            <w:r>
              <w:rPr>
                <w:rFonts w:hint="eastAsia" w:ascii="宋体" w:hAnsi="宋体" w:eastAsia="宋体" w:cs="宋体"/>
                <w:color w:val="auto"/>
                <w:kern w:val="0"/>
                <w:sz w:val="21"/>
                <w:szCs w:val="21"/>
                <w:highlight w:val="none"/>
                <w:lang w:bidi="ar"/>
              </w:rPr>
              <w:t>5.1供应商根据工程项目情况，应配备足够的造价人员，且专业分工明确、合理，保证审计项目的顺利开展。项目负责人、项目技术负责人</w:t>
            </w: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kern w:val="0"/>
                <w:sz w:val="21"/>
                <w:szCs w:val="21"/>
                <w:highlight w:val="none"/>
                <w:lang w:bidi="ar"/>
              </w:rPr>
              <w:t>人必须为一级造价工程师</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或全国注册造价工程师</w:t>
            </w:r>
            <w:r>
              <w:rPr>
                <w:rFonts w:hint="eastAsia" w:ascii="宋体" w:hAnsi="宋体" w:eastAsia="宋体" w:cs="宋体"/>
                <w:color w:val="auto"/>
                <w:kern w:val="0"/>
                <w:sz w:val="21"/>
                <w:szCs w:val="21"/>
                <w:highlight w:val="none"/>
                <w:lang w:eastAsia="zh-CN" w:bidi="ar"/>
              </w:rPr>
              <w:t>)</w:t>
            </w:r>
            <w:r>
              <w:rPr>
                <w:rFonts w:hint="eastAsia" w:ascii="宋体" w:hAnsi="宋体" w:eastAsia="宋体" w:cs="宋体"/>
                <w:color w:val="auto"/>
                <w:kern w:val="0"/>
                <w:sz w:val="21"/>
                <w:szCs w:val="21"/>
                <w:highlight w:val="none"/>
                <w:lang w:bidi="ar"/>
              </w:rPr>
              <w:t>，且专业</w:t>
            </w:r>
            <w:r>
              <w:rPr>
                <w:rFonts w:hint="eastAsia" w:ascii="宋体" w:hAnsi="宋体" w:eastAsia="宋体" w:cs="宋体"/>
                <w:color w:val="auto"/>
                <w:kern w:val="0"/>
                <w:sz w:val="21"/>
                <w:szCs w:val="21"/>
                <w:highlight w:val="none"/>
                <w:lang w:val="en-US" w:eastAsia="zh-CN" w:bidi="ar"/>
              </w:rPr>
              <w:t>为土木建筑专业或安装专业</w:t>
            </w:r>
            <w:r>
              <w:rPr>
                <w:rFonts w:hint="eastAsia" w:ascii="宋体" w:hAnsi="宋体" w:eastAsia="宋体" w:cs="宋体"/>
                <w:color w:val="auto"/>
                <w:kern w:val="0"/>
                <w:sz w:val="21"/>
                <w:szCs w:val="21"/>
                <w:highlight w:val="none"/>
                <w:lang w:bidi="ar"/>
              </w:rPr>
              <w:t>。</w:t>
            </w:r>
            <w:r>
              <w:rPr>
                <w:rFonts w:hint="eastAsia" w:ascii="宋体" w:hAnsi="宋体" w:eastAsia="宋体" w:cs="宋体"/>
                <w:b/>
                <w:bCs/>
                <w:color w:val="auto"/>
                <w:kern w:val="0"/>
                <w:sz w:val="21"/>
                <w:szCs w:val="21"/>
                <w:highlight w:val="none"/>
                <w:lang w:eastAsia="zh-CN" w:bidi="ar"/>
              </w:rPr>
              <w:t>(</w:t>
            </w:r>
            <w:r>
              <w:rPr>
                <w:rFonts w:hint="eastAsia" w:ascii="宋体" w:hAnsi="宋体" w:eastAsia="宋体" w:cs="宋体"/>
                <w:b/>
                <w:bCs/>
                <w:color w:val="auto"/>
                <w:kern w:val="0"/>
                <w:sz w:val="21"/>
                <w:szCs w:val="21"/>
                <w:highlight w:val="none"/>
                <w:lang w:bidi="ar"/>
              </w:rPr>
              <w:t>注：</w:t>
            </w:r>
            <w:r>
              <w:rPr>
                <w:rFonts w:hint="eastAsia" w:ascii="宋体" w:hAnsi="宋体" w:eastAsia="宋体" w:cs="宋体"/>
                <w:b/>
                <w:bCs/>
                <w:color w:val="auto"/>
                <w:sz w:val="21"/>
                <w:szCs w:val="21"/>
                <w:highlight w:val="none"/>
              </w:rPr>
              <w:t>①</w:t>
            </w:r>
            <w:r>
              <w:rPr>
                <w:rFonts w:hint="eastAsia" w:ascii="宋体" w:hAnsi="宋体" w:eastAsia="宋体" w:cs="宋体"/>
                <w:b/>
                <w:bCs/>
                <w:color w:val="auto"/>
                <w:kern w:val="0"/>
                <w:sz w:val="21"/>
                <w:szCs w:val="21"/>
                <w:highlight w:val="none"/>
                <w:lang w:bidi="ar"/>
              </w:rPr>
              <w:t>提供项目负责人、项目技术负责人相关证书(含有效注册信息)扫描件和在职证明材料并加盖供应商公章；未提供视为不</w:t>
            </w:r>
            <w:r>
              <w:rPr>
                <w:rFonts w:hint="eastAsia" w:ascii="宋体" w:hAnsi="宋体" w:eastAsia="宋体" w:cs="宋体"/>
                <w:b/>
                <w:bCs/>
                <w:kern w:val="0"/>
                <w:sz w:val="21"/>
                <w:szCs w:val="21"/>
                <w:highlight w:val="none"/>
                <w:lang w:bidi="ar"/>
              </w:rPr>
              <w:t>满足本条实质性要求。</w:t>
            </w:r>
            <w:r>
              <w:rPr>
                <w:rFonts w:hint="eastAsia" w:ascii="宋体" w:hAnsi="宋体" w:eastAsia="宋体" w:cs="宋体"/>
                <w:sz w:val="21"/>
                <w:szCs w:val="21"/>
                <w:highlight w:val="none"/>
              </w:rPr>
              <w:t>②</w:t>
            </w:r>
            <w:r>
              <w:rPr>
                <w:rFonts w:hint="eastAsia" w:ascii="宋体" w:hAnsi="宋体" w:eastAsia="宋体" w:cs="宋体"/>
                <w:b/>
                <w:bCs/>
                <w:kern w:val="0"/>
                <w:sz w:val="21"/>
                <w:szCs w:val="21"/>
                <w:highlight w:val="none"/>
                <w:lang w:bidi="ar"/>
              </w:rPr>
              <w:t>注册单位名称须与供应商名称一致且须附全国建筑市场监管公共服务平台</w:t>
            </w:r>
            <w:r>
              <w:rPr>
                <w:rFonts w:hint="eastAsia" w:ascii="宋体" w:hAnsi="宋体" w:eastAsia="宋体" w:cs="宋体"/>
                <w:b/>
                <w:bCs/>
                <w:kern w:val="0"/>
                <w:sz w:val="21"/>
                <w:szCs w:val="21"/>
                <w:highlight w:val="none"/>
                <w:lang w:eastAsia="zh-CN" w:bidi="ar"/>
              </w:rPr>
              <w:t>(https://jzsc.mohurd.gov.cn/home)</w:t>
            </w:r>
            <w:r>
              <w:rPr>
                <w:rFonts w:hint="eastAsia" w:ascii="宋体" w:hAnsi="宋体" w:eastAsia="宋体" w:cs="宋体"/>
                <w:b/>
                <w:bCs/>
                <w:kern w:val="0"/>
                <w:sz w:val="21"/>
                <w:szCs w:val="21"/>
                <w:highlight w:val="none"/>
                <w:lang w:bidi="ar"/>
              </w:rPr>
              <w:t>注册造价工程师信息查询截图，注册证书中注册单位若与供应商单位不一致，视为不满足本条实质性要求。</w:t>
            </w:r>
            <w:r>
              <w:rPr>
                <w:rFonts w:hint="eastAsia" w:ascii="宋体" w:hAnsi="宋体" w:eastAsia="宋体" w:cs="宋体"/>
                <w:b/>
                <w:bCs/>
                <w:kern w:val="0"/>
                <w:sz w:val="21"/>
                <w:szCs w:val="21"/>
                <w:highlight w:val="none"/>
                <w:lang w:eastAsia="zh-CN" w:bidi="ar"/>
              </w:rPr>
              <w:t>)</w:t>
            </w:r>
          </w:p>
          <w:p w14:paraId="27841834">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5.2项目组成员应熟悉掌握工程招投标、基本建设程序、施工现场管理和竣工结算审计等相关专业知识。</w:t>
            </w:r>
          </w:p>
          <w:p w14:paraId="701B3C28">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★6.其他要求</w:t>
            </w:r>
          </w:p>
          <w:p w14:paraId="45564678">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6.1供应商发生下列行为之一的，学校有权取消其审计服务资格，同时禁止参加学校以后的审计服务采购活动：</w:t>
            </w:r>
          </w:p>
          <w:p w14:paraId="144B7472">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供应商在履行委托审计业务过程中，项目组成员与响应文件中承诺的不一致；项目组成员私下与被审计单位和人员就审计事项发生任何接触联系；供应商将受托审计项目转包或分包给其他单位或个人；供应商未按委托合同的要求实施审计或提供审计报告、审计工作不规范、审计结论避重就轻，且拒绝纠正；供应商</w:t>
            </w:r>
            <w:r>
              <w:rPr>
                <w:rFonts w:hint="eastAsia" w:ascii="宋体" w:hAnsi="宋体" w:eastAsia="宋体" w:cs="宋体"/>
                <w:color w:val="auto"/>
                <w:kern w:val="0"/>
                <w:sz w:val="21"/>
                <w:szCs w:val="21"/>
                <w:lang w:bidi="ar"/>
              </w:rPr>
              <w:t>提供的</w:t>
            </w:r>
            <w:r>
              <w:rPr>
                <w:rFonts w:hint="eastAsia" w:ascii="宋体" w:hAnsi="宋体" w:eastAsia="宋体" w:cs="宋体"/>
                <w:color w:val="auto"/>
                <w:kern w:val="0"/>
                <w:sz w:val="21"/>
                <w:szCs w:val="21"/>
                <w:lang w:val="en-US" w:eastAsia="zh-CN" w:bidi="ar"/>
              </w:rPr>
              <w:t>审计咨询</w:t>
            </w:r>
            <w:r>
              <w:rPr>
                <w:rFonts w:hint="eastAsia" w:ascii="宋体" w:hAnsi="宋体" w:eastAsia="宋体" w:cs="宋体"/>
                <w:color w:val="auto"/>
                <w:kern w:val="0"/>
                <w:sz w:val="21"/>
                <w:szCs w:val="21"/>
                <w:lang w:bidi="ar"/>
              </w:rPr>
              <w:t>结果严重失实、</w:t>
            </w:r>
            <w:r>
              <w:rPr>
                <w:rFonts w:hint="eastAsia" w:ascii="宋体" w:hAnsi="宋体" w:eastAsia="宋体" w:cs="宋体"/>
                <w:color w:val="auto"/>
                <w:kern w:val="0"/>
                <w:sz w:val="21"/>
                <w:szCs w:val="21"/>
                <w:lang w:val="en-US" w:eastAsia="zh-CN" w:bidi="ar"/>
              </w:rPr>
              <w:t>审计咨询结论</w:t>
            </w:r>
            <w:r>
              <w:rPr>
                <w:rFonts w:hint="eastAsia" w:ascii="宋体" w:hAnsi="宋体" w:eastAsia="宋体" w:cs="宋体"/>
                <w:color w:val="auto"/>
                <w:kern w:val="0"/>
                <w:sz w:val="21"/>
                <w:szCs w:val="21"/>
                <w:lang w:bidi="ar"/>
              </w:rPr>
              <w:t>不准确</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val="en-US" w:eastAsia="zh-CN" w:bidi="ar"/>
              </w:rPr>
              <w:t>审计咨询</w:t>
            </w:r>
            <w:r>
              <w:rPr>
                <w:rFonts w:hint="eastAsia" w:ascii="宋体" w:hAnsi="宋体" w:eastAsia="宋体" w:cs="宋体"/>
                <w:color w:val="auto"/>
                <w:kern w:val="0"/>
                <w:sz w:val="21"/>
                <w:szCs w:val="21"/>
                <w:lang w:bidi="ar"/>
              </w:rPr>
              <w:t>报告存在未真实、客观反映情况或披露问题等重大错漏质量问题，且拒绝进行重新审计或纠正；</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同时学校将停止支付审计费用</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；未在规定时间内完</w:t>
            </w:r>
            <w:r>
              <w:rPr>
                <w:rFonts w:hint="eastAsia" w:ascii="宋体" w:hAnsi="宋体" w:eastAsia="宋体" w:cs="宋体"/>
                <w:kern w:val="0"/>
                <w:sz w:val="21"/>
                <w:szCs w:val="21"/>
                <w:lang w:bidi="ar"/>
              </w:rPr>
              <w:t>成审计工作；被行业主管部门或信用公开网站上公示有不良行为；通过弄虚作假、串通作弊等不正当手段取得委托审计业务；泄露所知悉的国家秘密、商业秘密、工作秘密等；违反审计工作纪律或有其他违法行为；已不符合资格条件等其他情况。</w:t>
            </w:r>
          </w:p>
          <w:p w14:paraId="49D8D2C8">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6.2供应商在服务过程中，若对工作不积极、不认真，不服从学校的各项工作安排等，从而造成服务、工作质量达不到要求的，采购人有权在其审计费中扣除相应价款，作为违约补偿，并有权终止采购合同。若给学校造成损失的，供应商应当承担赔偿责任，采购人将追究供应商相应法律责任。后果严重构成犯罪的，移交司法机关进行处理。</w:t>
            </w:r>
          </w:p>
          <w:p w14:paraId="7B900EBC">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6.3供应商不得与西南石油大学所属的其他二级单位存在影响审计业务正常实施的利益关系。</w:t>
            </w:r>
          </w:p>
          <w:p w14:paraId="43DA40F2">
            <w:pPr>
              <w:spacing w:line="360" w:lineRule="auto"/>
              <w:rPr>
                <w:rFonts w:hint="eastAsia" w:ascii="宋体" w:hAnsi="宋体" w:eastAsia="宋体" w:cs="宋体"/>
                <w:color w:val="auto"/>
                <w:kern w:val="0"/>
                <w:sz w:val="21"/>
                <w:szCs w:val="21"/>
                <w:lang w:bidi="ar"/>
              </w:rPr>
            </w:pPr>
            <w:r>
              <w:rPr>
                <w:rFonts w:hint="eastAsia" w:ascii="宋体" w:hAnsi="宋体" w:eastAsia="宋体" w:cs="宋体"/>
                <w:kern w:val="0"/>
                <w:sz w:val="21"/>
                <w:szCs w:val="21"/>
                <w:lang w:bidi="ar"/>
              </w:rPr>
              <w:t>6.4供应商在履行合同期间，不得在西南石油大学所属的其他二级单位从事勘察、设</w:t>
            </w:r>
            <w:r>
              <w:rPr>
                <w:rFonts w:hint="eastAsia" w:ascii="宋体" w:hAnsi="宋体" w:eastAsia="宋体" w:cs="宋体"/>
                <w:color w:val="auto"/>
                <w:kern w:val="0"/>
                <w:sz w:val="21"/>
                <w:szCs w:val="21"/>
                <w:lang w:bidi="ar"/>
              </w:rPr>
              <w:t>计、施工、造价咨询、监理等服务。</w:t>
            </w:r>
          </w:p>
          <w:p w14:paraId="1C6E4628">
            <w:pPr>
              <w:spacing w:line="360" w:lineRule="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★7.报价要求</w:t>
            </w:r>
          </w:p>
          <w:p w14:paraId="41ADB6C8">
            <w:pPr>
              <w:spacing w:line="360" w:lineRule="auto"/>
              <w:rPr>
                <w:rFonts w:hint="eastAsia" w:ascii="宋体" w:hAnsi="宋体" w:eastAsia="宋体" w:cs="宋体"/>
                <w:color w:val="auto"/>
                <w:kern w:val="0"/>
                <w:sz w:val="21"/>
                <w:szCs w:val="21"/>
                <w:lang w:bidi="ar"/>
              </w:rPr>
            </w:pPr>
            <w:r>
              <w:rPr>
                <w:rFonts w:hint="eastAsia" w:ascii="宋体" w:hAnsi="宋体" w:eastAsia="宋体" w:cs="宋体"/>
                <w:color w:val="auto"/>
                <w:kern w:val="0"/>
                <w:sz w:val="21"/>
                <w:szCs w:val="21"/>
                <w:lang w:bidi="ar"/>
              </w:rPr>
              <w:t>本项目统一以折扣(百分比)进行报价，并以折扣</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N%，N为0-100</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作为价格评审因素和结算支付依据，折扣最高限价为50</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即：N≤50</w:t>
            </w:r>
            <w:r>
              <w:rPr>
                <w:rFonts w:hint="eastAsia" w:ascii="宋体" w:hAnsi="宋体" w:eastAsia="宋体" w:cs="宋体"/>
                <w:color w:val="auto"/>
                <w:kern w:val="0"/>
                <w:sz w:val="21"/>
                <w:szCs w:val="21"/>
                <w:lang w:eastAsia="zh-CN" w:bidi="ar"/>
              </w:rPr>
              <w:t>)</w:t>
            </w:r>
            <w:r>
              <w:rPr>
                <w:rFonts w:hint="eastAsia" w:ascii="宋体" w:hAnsi="宋体" w:eastAsia="宋体" w:cs="宋体"/>
                <w:color w:val="auto"/>
                <w:kern w:val="0"/>
                <w:sz w:val="21"/>
                <w:szCs w:val="21"/>
                <w:lang w:bidi="ar"/>
              </w:rPr>
              <w:t>，供应商折扣报价不得大于50，否则作无效响应处理。最终</w:t>
            </w:r>
            <w:r>
              <w:rPr>
                <w:rFonts w:hint="eastAsia" w:ascii="宋体" w:hAnsi="宋体" w:eastAsia="宋体" w:cs="宋体"/>
                <w:color w:val="auto"/>
                <w:kern w:val="0"/>
                <w:sz w:val="21"/>
                <w:szCs w:val="21"/>
                <w:lang w:val="en-US" w:eastAsia="zh-CN" w:bidi="ar"/>
              </w:rPr>
              <w:t>结算支付</w:t>
            </w:r>
            <w:r>
              <w:rPr>
                <w:rFonts w:hint="eastAsia" w:ascii="宋体" w:hAnsi="宋体" w:eastAsia="宋体" w:cs="宋体"/>
                <w:color w:val="auto"/>
                <w:kern w:val="0"/>
                <w:sz w:val="21"/>
                <w:szCs w:val="21"/>
                <w:lang w:bidi="ar"/>
              </w:rPr>
              <w:t>以竣工结算审定金额作为计费基数，按照下表的收费费率标准*成交折扣进行结算。</w:t>
            </w:r>
          </w:p>
          <w:tbl>
            <w:tblPr>
              <w:tblStyle w:val="25"/>
              <w:tblW w:w="7018" w:type="dxa"/>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665"/>
              <w:gridCol w:w="1243"/>
              <w:gridCol w:w="1975"/>
              <w:gridCol w:w="2135"/>
            </w:tblGrid>
            <w:tr w14:paraId="1E0888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0" w:hRule="atLeast"/>
                <w:jc w:val="center"/>
              </w:trPr>
              <w:tc>
                <w:tcPr>
                  <w:tcW w:w="16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035A1618">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竣工结算审定</w:t>
                  </w:r>
                  <w:r>
                    <w:rPr>
                      <w:rFonts w:hint="eastAsia" w:ascii="宋体" w:hAnsi="宋体" w:eastAsia="宋体" w:cs="宋体"/>
                      <w:color w:val="auto"/>
                      <w:sz w:val="21"/>
                      <w:szCs w:val="21"/>
                    </w:rPr>
                    <w:t>金额</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元</w:t>
                  </w:r>
                  <w:r>
                    <w:rPr>
                      <w:rFonts w:hint="eastAsia" w:ascii="宋体" w:hAnsi="宋体" w:eastAsia="宋体" w:cs="宋体"/>
                      <w:color w:val="auto"/>
                      <w:sz w:val="21"/>
                      <w:szCs w:val="21"/>
                      <w:lang w:eastAsia="zh-CN"/>
                    </w:rPr>
                    <w:t>)</w:t>
                  </w:r>
                </w:p>
              </w:tc>
              <w:tc>
                <w:tcPr>
                  <w:tcW w:w="1243"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3BECA383">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Hans"/>
                    </w:rPr>
                    <w:t>500</w:t>
                  </w:r>
                  <w:r>
                    <w:rPr>
                      <w:rFonts w:hint="eastAsia" w:ascii="宋体" w:hAnsi="宋体" w:eastAsia="宋体" w:cs="宋体"/>
                      <w:color w:val="auto"/>
                      <w:sz w:val="21"/>
                      <w:szCs w:val="21"/>
                    </w:rPr>
                    <w:t>万</w:t>
                  </w:r>
                  <w:r>
                    <w:rPr>
                      <w:rFonts w:hint="eastAsia" w:ascii="宋体" w:hAnsi="宋体" w:eastAsia="宋体" w:cs="宋体"/>
                      <w:color w:val="auto"/>
                      <w:sz w:val="21"/>
                      <w:szCs w:val="21"/>
                      <w:lang w:eastAsia="zh-Hans"/>
                    </w:rPr>
                    <w:t>以内</w:t>
                  </w:r>
                </w:p>
              </w:tc>
              <w:tc>
                <w:tcPr>
                  <w:tcW w:w="19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3C46F951">
                  <w:pPr>
                    <w:jc w:val="center"/>
                    <w:rPr>
                      <w:rFonts w:hint="eastAsia" w:ascii="宋体" w:hAnsi="宋体" w:eastAsia="宋体" w:cs="宋体"/>
                      <w:color w:val="auto"/>
                      <w:sz w:val="21"/>
                      <w:szCs w:val="21"/>
                      <w:lang w:eastAsia="zh-Hans"/>
                    </w:rPr>
                  </w:pPr>
                  <w:r>
                    <w:rPr>
                      <w:rFonts w:hint="eastAsia" w:ascii="宋体" w:hAnsi="宋体" w:eastAsia="宋体" w:cs="宋体"/>
                      <w:color w:val="auto"/>
                      <w:sz w:val="21"/>
                      <w:szCs w:val="21"/>
                      <w:lang w:eastAsia="zh-Hans"/>
                    </w:rPr>
                    <w:t>500万-3000万</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含</w:t>
                  </w:r>
                  <w:r>
                    <w:rPr>
                      <w:rFonts w:hint="eastAsia" w:ascii="宋体" w:hAnsi="宋体" w:eastAsia="宋体" w:cs="宋体"/>
                      <w:color w:val="auto"/>
                      <w:sz w:val="21"/>
                      <w:szCs w:val="21"/>
                      <w:lang w:eastAsia="zh-CN"/>
                    </w:rPr>
                    <w:t>)</w:t>
                  </w:r>
                </w:p>
              </w:tc>
              <w:tc>
                <w:tcPr>
                  <w:tcW w:w="21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4308E778">
                  <w:pPr>
                    <w:jc w:val="cente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Hans"/>
                    </w:rPr>
                    <w:t>3000万-1亿</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含</w:t>
                  </w:r>
                  <w:r>
                    <w:rPr>
                      <w:rFonts w:hint="eastAsia" w:ascii="宋体" w:hAnsi="宋体" w:eastAsia="宋体" w:cs="宋体"/>
                      <w:color w:val="auto"/>
                      <w:sz w:val="21"/>
                      <w:szCs w:val="21"/>
                      <w:lang w:eastAsia="zh-CN"/>
                    </w:rPr>
                    <w:t>)</w:t>
                  </w:r>
                </w:p>
              </w:tc>
            </w:tr>
            <w:tr w14:paraId="26FFCE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9" w:hRule="atLeast"/>
                <w:jc w:val="center"/>
              </w:trPr>
              <w:tc>
                <w:tcPr>
                  <w:tcW w:w="16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123C74E3">
                  <w:pPr>
                    <w:jc w:val="center"/>
                    <w:rPr>
                      <w:rFonts w:hint="eastAsia" w:ascii="宋体" w:hAnsi="宋体" w:eastAsia="宋体" w:cs="宋体"/>
                      <w:color w:val="auto"/>
                      <w:sz w:val="21"/>
                      <w:szCs w:val="21"/>
                      <w:lang w:eastAsia="zh-Hans"/>
                    </w:rPr>
                  </w:pPr>
                  <w:r>
                    <w:rPr>
                      <w:rFonts w:hint="eastAsia" w:ascii="宋体" w:hAnsi="宋体" w:eastAsia="宋体" w:cs="宋体"/>
                      <w:color w:val="auto"/>
                      <w:sz w:val="21"/>
                      <w:szCs w:val="21"/>
                      <w:lang w:eastAsia="zh-Hans"/>
                    </w:rPr>
                    <w:t>收费费率(‰)</w:t>
                  </w:r>
                </w:p>
              </w:tc>
              <w:tc>
                <w:tcPr>
                  <w:tcW w:w="1243"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7085EBDD">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15.00</w:t>
                  </w:r>
                </w:p>
              </w:tc>
              <w:tc>
                <w:tcPr>
                  <w:tcW w:w="197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340B373A">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13.50</w:t>
                  </w:r>
                </w:p>
              </w:tc>
              <w:tc>
                <w:tcPr>
                  <w:tcW w:w="2135"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9C40FBA">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11.20</w:t>
                  </w:r>
                </w:p>
              </w:tc>
            </w:tr>
          </w:tbl>
          <w:p w14:paraId="3326AAF1">
            <w:pPr>
              <w:spacing w:line="360" w:lineRule="auto"/>
              <w:rPr>
                <w:rFonts w:hint="eastAsia" w:ascii="宋体" w:hAnsi="宋体" w:eastAsia="宋体" w:cs="宋体"/>
                <w:kern w:val="0"/>
                <w:sz w:val="21"/>
                <w:szCs w:val="21"/>
                <w:lang w:bidi="ar"/>
              </w:rPr>
            </w:pPr>
            <w:r>
              <w:rPr>
                <w:rFonts w:hint="eastAsia" w:ascii="宋体" w:hAnsi="宋体" w:eastAsia="宋体" w:cs="宋体"/>
                <w:color w:val="auto"/>
                <w:kern w:val="0"/>
                <w:sz w:val="21"/>
                <w:szCs w:val="21"/>
                <w:lang w:bidi="ar"/>
              </w:rPr>
              <w:t>注：①专业调整系数、工程复杂程度调整系数均为1。③支付的服务费用包括供应商项目组成员实施审计过程中发生的差旅费、通讯费等所有费</w:t>
            </w:r>
            <w:r>
              <w:rPr>
                <w:rFonts w:hint="eastAsia" w:ascii="宋体" w:hAnsi="宋体" w:eastAsia="宋体" w:cs="宋体"/>
                <w:kern w:val="0"/>
                <w:sz w:val="21"/>
                <w:szCs w:val="21"/>
                <w:lang w:bidi="ar"/>
              </w:rPr>
              <w:t>用；合同期间如遇国家政策调整，服务费项目计费费率保持不变。</w:t>
            </w:r>
          </w:p>
          <w:p w14:paraId="1A71701D">
            <w:pPr>
              <w:spacing w:line="360" w:lineRule="auto"/>
              <w:rPr>
                <w:rFonts w:hint="eastAsia" w:ascii="宋体" w:hAnsi="宋体" w:eastAsia="宋体" w:cs="宋体"/>
                <w:kern w:val="0"/>
                <w:sz w:val="21"/>
                <w:szCs w:val="21"/>
                <w:lang w:bidi="ar"/>
              </w:rPr>
            </w:pPr>
            <w:r>
              <w:rPr>
                <w:rFonts w:hint="eastAsia" w:ascii="宋体" w:hAnsi="宋体" w:eastAsia="宋体" w:cs="宋体"/>
                <w:kern w:val="0"/>
                <w:sz w:val="21"/>
                <w:szCs w:val="21"/>
                <w:lang w:bidi="ar"/>
              </w:rPr>
              <w:t>★8.其他要求：</w:t>
            </w:r>
          </w:p>
          <w:p w14:paraId="6AF73D1C">
            <w:pPr>
              <w:spacing w:line="360" w:lineRule="auto"/>
              <w:rPr>
                <w:rFonts w:hint="eastAsia" w:ascii="宋体" w:hAnsi="宋体" w:eastAsia="宋体" w:cs="宋体"/>
                <w:b/>
                <w:bCs/>
                <w:kern w:val="0"/>
                <w:sz w:val="21"/>
                <w:szCs w:val="21"/>
                <w:lang w:eastAsia="zh-CN" w:bidi="ar"/>
              </w:rPr>
            </w:pPr>
            <w:r>
              <w:rPr>
                <w:rFonts w:hint="eastAsia" w:ascii="宋体" w:hAnsi="宋体" w:eastAsia="宋体" w:cs="宋体"/>
                <w:b/>
                <w:bCs/>
                <w:kern w:val="0"/>
                <w:sz w:val="21"/>
                <w:szCs w:val="21"/>
                <w:lang w:bidi="ar"/>
              </w:rPr>
              <w:t>服务承诺</w:t>
            </w:r>
            <w:r>
              <w:rPr>
                <w:rFonts w:hint="eastAsia" w:ascii="宋体" w:hAnsi="宋体" w:eastAsia="宋体" w:cs="宋体"/>
                <w:b/>
                <w:bCs/>
                <w:kern w:val="0"/>
                <w:sz w:val="21"/>
                <w:szCs w:val="21"/>
                <w:lang w:eastAsia="zh-CN" w:bidi="ar"/>
              </w:rPr>
              <w:t>(</w:t>
            </w:r>
            <w:r>
              <w:rPr>
                <w:rFonts w:hint="eastAsia" w:ascii="宋体" w:hAnsi="宋体" w:eastAsia="宋体" w:cs="宋体"/>
                <w:b/>
                <w:bCs/>
                <w:kern w:val="0"/>
                <w:sz w:val="21"/>
                <w:szCs w:val="21"/>
                <w:lang w:bidi="ar"/>
              </w:rPr>
              <w:t>此项供应商需提供承诺函，格式自拟</w:t>
            </w:r>
            <w:r>
              <w:rPr>
                <w:rFonts w:hint="eastAsia" w:ascii="宋体" w:hAnsi="宋体" w:eastAsia="宋体" w:cs="宋体"/>
                <w:b/>
                <w:bCs/>
                <w:kern w:val="0"/>
                <w:sz w:val="21"/>
                <w:szCs w:val="21"/>
                <w:lang w:eastAsia="zh-CN" w:bidi="ar"/>
              </w:rPr>
              <w:t>)：</w:t>
            </w:r>
          </w:p>
          <w:p w14:paraId="6AE80215">
            <w:pPr>
              <w:spacing w:line="360" w:lineRule="auto"/>
              <w:rPr>
                <w:rFonts w:hint="eastAsia" w:ascii="宋体" w:hAnsi="宋体" w:eastAsia="宋体" w:cs="宋体"/>
                <w:color w:val="000000"/>
                <w:spacing w:val="20"/>
                <w:kern w:val="0"/>
                <w:sz w:val="21"/>
                <w:szCs w:val="21"/>
                <w:lang w:val="en-US" w:eastAsia="zh-CN"/>
              </w:rPr>
            </w:pPr>
            <w:r>
              <w:rPr>
                <w:rFonts w:hint="eastAsia" w:ascii="宋体" w:hAnsi="宋体" w:eastAsia="宋体" w:cs="宋体"/>
                <w:kern w:val="0"/>
                <w:sz w:val="21"/>
                <w:szCs w:val="21"/>
                <w:lang w:bidi="ar"/>
              </w:rPr>
              <w:t>项目实施期间，供应商指派的项目组人员必须为响应文件承诺且经学校确认的人员，应保证其全程稳定参与工作，未经学校事先书面批准，不得擅自更换、减少人员</w:t>
            </w:r>
            <w:r>
              <w:rPr>
                <w:rFonts w:hint="eastAsia" w:cs="宋体"/>
                <w:kern w:val="0"/>
                <w:sz w:val="21"/>
                <w:szCs w:val="21"/>
                <w:lang w:eastAsia="zh-CN" w:bidi="ar"/>
              </w:rPr>
              <w:t>。</w:t>
            </w:r>
          </w:p>
        </w:tc>
      </w:tr>
    </w:tbl>
    <w:p w14:paraId="2425D415">
      <w:pPr>
        <w:pStyle w:val="40"/>
        <w:keepNext w:val="0"/>
        <w:keepLines w:val="0"/>
        <w:pageBreakBefore w:val="0"/>
        <w:widowControl w:val="0"/>
        <w:numPr>
          <w:ilvl w:val="1"/>
          <w:numId w:val="0"/>
        </w:numPr>
        <w:kinsoku/>
        <w:overflowPunct/>
        <w:autoSpaceDE/>
        <w:autoSpaceDN/>
        <w:bidi w:val="0"/>
        <w:spacing w:line="520" w:lineRule="exact"/>
        <w:ind w:firstLine="482" w:firstLineChars="200"/>
        <w:textAlignment w:val="auto"/>
        <w:rPr>
          <w:rFonts w:hint="eastAsia" w:asciiTheme="minorEastAsia" w:hAnsiTheme="minorEastAsia" w:eastAsiaTheme="minorEastAsia" w:cstheme="minorEastAsia"/>
          <w:sz w:val="24"/>
          <w:szCs w:val="24"/>
          <w:highlight w:val="none"/>
          <w:lang w:val="en-US" w:eastAsia="zh-CN"/>
        </w:rPr>
      </w:pPr>
      <w:bookmarkStart w:id="460" w:name="_Toc23557"/>
      <w:bookmarkStart w:id="461" w:name="_Toc23170"/>
      <w:bookmarkStart w:id="462" w:name="_Toc6698"/>
      <w:bookmarkStart w:id="463" w:name="_Toc17693"/>
      <w:bookmarkStart w:id="464" w:name="_Toc24338"/>
      <w:bookmarkStart w:id="465" w:name="_Toc7101"/>
      <w:bookmarkStart w:id="466" w:name="_Toc8752_WPSOffice_Level2"/>
      <w:bookmarkStart w:id="467" w:name="_Toc12739"/>
      <w:bookmarkStart w:id="468" w:name="_Toc6974"/>
      <w:bookmarkStart w:id="469" w:name="_Toc9683"/>
      <w:bookmarkStart w:id="470" w:name="_Toc27497"/>
      <w:r>
        <w:rPr>
          <w:rFonts w:hint="eastAsia" w:asciiTheme="minorEastAsia" w:hAnsiTheme="minorEastAsia" w:eastAsiaTheme="minorEastAsia" w:cstheme="minorEastAsia"/>
          <w:b/>
          <w:bCs/>
          <w:sz w:val="24"/>
          <w:szCs w:val="24"/>
          <w:lang w:val="en-US" w:eastAsia="zh-CN"/>
        </w:rPr>
        <w:t>三、履约能力要求</w:t>
      </w:r>
      <w:bookmarkEnd w:id="460"/>
      <w:bookmarkEnd w:id="461"/>
      <w:bookmarkEnd w:id="462"/>
      <w:bookmarkEnd w:id="463"/>
    </w:p>
    <w:p w14:paraId="31E45FB2">
      <w:pPr>
        <w:pStyle w:val="53"/>
        <w:pageBreakBefore w:val="0"/>
        <w:kinsoku/>
        <w:overflowPunct/>
        <w:autoSpaceDE/>
        <w:autoSpaceDN/>
        <w:bidi w:val="0"/>
        <w:spacing w:line="520" w:lineRule="exact"/>
        <w:textAlignment w:val="auto"/>
        <w:rPr>
          <w:rFonts w:hint="eastAsia"/>
          <w:b w:val="0"/>
          <w:bCs/>
          <w:lang w:val="en-US" w:eastAsia="zh-CN"/>
        </w:rPr>
      </w:pPr>
      <w:r>
        <w:rPr>
          <w:rFonts w:hint="eastAsia"/>
          <w:b w:val="0"/>
          <w:bCs/>
          <w:lang w:val="en-US" w:eastAsia="zh-CN"/>
        </w:rPr>
        <w:t>(一)技术服务水平：</w:t>
      </w:r>
    </w:p>
    <w:p w14:paraId="1B840A18">
      <w:pPr>
        <w:pStyle w:val="53"/>
        <w:pageBreakBefore w:val="0"/>
        <w:kinsoku/>
        <w:overflowPunct/>
        <w:autoSpaceDE/>
        <w:autoSpaceDN/>
        <w:bidi w:val="0"/>
        <w:spacing w:line="520" w:lineRule="exact"/>
        <w:textAlignment w:val="auto"/>
        <w:rPr>
          <w:rFonts w:hint="default"/>
          <w:b w:val="0"/>
          <w:bCs/>
          <w:lang w:val="en-US" w:eastAsia="zh-CN"/>
        </w:rPr>
      </w:pPr>
      <w:r>
        <w:rPr>
          <w:rFonts w:hint="eastAsia"/>
          <w:b w:val="0"/>
          <w:bCs/>
          <w:lang w:val="en-US" w:eastAsia="zh-CN"/>
        </w:rPr>
        <w:t>根据供应商拟定的实施方案综合评审，包括：①审计目标及审计范围；②审计内容及重点；③审计方法及工作步骤；④项目组构成及人员分工；⑤审计质量控制措施；⑥审计进度控制措施、审计服务承诺及后续服务方案六个方面的内容。</w:t>
      </w:r>
    </w:p>
    <w:p w14:paraId="3186A346">
      <w:pPr>
        <w:pStyle w:val="53"/>
        <w:pageBreakBefore w:val="0"/>
        <w:kinsoku/>
        <w:overflowPunct/>
        <w:autoSpaceDE/>
        <w:autoSpaceDN/>
        <w:bidi w:val="0"/>
        <w:spacing w:line="520" w:lineRule="exact"/>
        <w:textAlignment w:val="auto"/>
        <w:rPr>
          <w:rFonts w:hint="eastAsia"/>
          <w:b w:val="0"/>
          <w:bCs/>
          <w:lang w:val="en-US" w:eastAsia="zh-CN"/>
        </w:rPr>
      </w:pPr>
      <w:r>
        <w:rPr>
          <w:rFonts w:hint="eastAsia"/>
          <w:b w:val="0"/>
          <w:bCs/>
          <w:lang w:val="en-US" w:eastAsia="zh-CN"/>
        </w:rPr>
        <w:t>(二)供应商拟派人员、履约经验(按照磋商文件评审规则提供具体证明材料)。</w:t>
      </w:r>
    </w:p>
    <w:p w14:paraId="0A6D6D8A">
      <w:pPr>
        <w:pStyle w:val="40"/>
        <w:pageBreakBefore w:val="0"/>
        <w:numPr>
          <w:ilvl w:val="1"/>
          <w:numId w:val="0"/>
        </w:numPr>
        <w:kinsoku/>
        <w:overflowPunct/>
        <w:autoSpaceDE/>
        <w:autoSpaceDN/>
        <w:bidi w:val="0"/>
        <w:spacing w:line="520" w:lineRule="exact"/>
        <w:ind w:firstLine="482" w:firstLineChars="200"/>
        <w:textAlignment w:val="auto"/>
        <w:rPr>
          <w:rFonts w:hint="eastAsia"/>
          <w:lang w:val="en-US" w:eastAsia="zh-CN"/>
        </w:rPr>
      </w:pPr>
      <w:bookmarkStart w:id="471" w:name="_Toc15792"/>
      <w:bookmarkStart w:id="472" w:name="_Toc29013"/>
      <w:bookmarkStart w:id="473" w:name="_Toc25024"/>
      <w:bookmarkStart w:id="474" w:name="_Toc13196"/>
      <w:r>
        <w:rPr>
          <w:rFonts w:hint="eastAsia"/>
          <w:lang w:val="en-US" w:eastAsia="zh-CN"/>
        </w:rPr>
        <w:t>四、</w:t>
      </w:r>
      <w:r>
        <w:rPr>
          <w:rFonts w:hint="eastAsia"/>
          <w:b/>
          <w:bCs/>
          <w:lang w:val="en-US" w:eastAsia="zh-CN"/>
        </w:rPr>
        <w:t>★</w:t>
      </w:r>
      <w:r>
        <w:rPr>
          <w:rFonts w:hint="eastAsia"/>
          <w:lang w:val="en-US" w:eastAsia="zh-CN"/>
        </w:rPr>
        <w:t>商务要求</w:t>
      </w:r>
      <w:bookmarkEnd w:id="471"/>
      <w:bookmarkEnd w:id="472"/>
      <w:bookmarkEnd w:id="473"/>
      <w:bookmarkEnd w:id="474"/>
    </w:p>
    <w:bookmarkEnd w:id="464"/>
    <w:p w14:paraId="7FCB60D6">
      <w:pPr>
        <w:keepNext w:val="0"/>
        <w:keepLines w:val="0"/>
        <w:pageBreakBefore w:val="0"/>
        <w:widowControl w:val="0"/>
        <w:numPr>
          <w:ilvl w:val="0"/>
          <w:numId w:val="20"/>
        </w:numPr>
        <w:tabs>
          <w:tab w:val="left" w:pos="312"/>
          <w:tab w:val="clear" w:pos="0"/>
        </w:tabs>
        <w:kinsoku/>
        <w:wordWrap/>
        <w:overflowPunct/>
        <w:topLinePunct w:val="0"/>
        <w:autoSpaceDE/>
        <w:autoSpaceDN/>
        <w:bidi w:val="0"/>
        <w:adjustRightInd/>
        <w:snapToGrid/>
        <w:spacing w:line="520" w:lineRule="exact"/>
        <w:ind w:left="0" w:leftChars="0" w:firstLine="482" w:firstLineChars="200"/>
        <w:textAlignment w:val="auto"/>
        <w:outlineLvl w:val="1"/>
        <w:rPr>
          <w:rFonts w:hint="eastAsia" w:asciiTheme="minorEastAsia" w:hAnsiTheme="minorEastAsia" w:eastAsiaTheme="minorEastAsia" w:cstheme="minorEastAsia"/>
          <w:b/>
          <w:bCs/>
          <w:sz w:val="24"/>
          <w:szCs w:val="24"/>
          <w:lang w:val="en-US" w:eastAsia="zh-CN"/>
        </w:rPr>
      </w:pPr>
      <w:bookmarkStart w:id="475" w:name="_Toc26290"/>
      <w:bookmarkStart w:id="476" w:name="_Toc29219"/>
      <w:bookmarkStart w:id="477" w:name="_Toc16791"/>
      <w:bookmarkStart w:id="478" w:name="_Toc8510"/>
      <w:r>
        <w:rPr>
          <w:rFonts w:hint="eastAsia" w:asciiTheme="minorEastAsia" w:hAnsiTheme="minorEastAsia" w:eastAsiaTheme="minorEastAsia" w:cstheme="minorEastAsia"/>
          <w:b/>
          <w:bCs/>
          <w:sz w:val="24"/>
          <w:szCs w:val="24"/>
          <w:lang w:val="en-US" w:eastAsia="zh-CN"/>
        </w:rPr>
        <w:t>服务期限和地点：</w:t>
      </w:r>
      <w:bookmarkEnd w:id="475"/>
      <w:bookmarkEnd w:id="476"/>
      <w:bookmarkEnd w:id="477"/>
      <w:bookmarkEnd w:id="478"/>
    </w:p>
    <w:p w14:paraId="07093923">
      <w:pPr>
        <w:pageBreakBefore w:val="0"/>
        <w:widowControl/>
        <w:kinsoku/>
        <w:wordWrap/>
        <w:overflowPunct/>
        <w:topLinePunct w:val="0"/>
        <w:autoSpaceDE/>
        <w:autoSpaceDN/>
        <w:bidi w:val="0"/>
        <w:adjustRightInd/>
        <w:snapToGrid w:val="0"/>
        <w:spacing w:line="520" w:lineRule="exact"/>
        <w:ind w:firstLine="480" w:firstLineChars="200"/>
        <w:jc w:val="both"/>
        <w:textAlignment w:val="auto"/>
        <w:rPr>
          <w:rFonts w:hint="eastAsia" w:ascii="宋体" w:hAnsi="宋体" w:eastAsia="宋体" w:cs="Times New Roman"/>
          <w:sz w:val="24"/>
          <w:szCs w:val="24"/>
        </w:rPr>
      </w:pPr>
      <w:r>
        <w:rPr>
          <w:rFonts w:hint="eastAsia" w:ascii="宋体" w:hAnsi="宋体" w:eastAsia="宋体" w:cs="Times New Roman"/>
          <w:sz w:val="24"/>
          <w:szCs w:val="24"/>
        </w:rPr>
        <w:t>1.服务期限：从接到采购人通知之日开始实施，至采购人确认审计业务结束日终结。</w:t>
      </w:r>
    </w:p>
    <w:p w14:paraId="26400976">
      <w:pPr>
        <w:pageBreakBefore w:val="0"/>
        <w:widowControl/>
        <w:kinsoku/>
        <w:wordWrap/>
        <w:overflowPunct/>
        <w:topLinePunct w:val="0"/>
        <w:autoSpaceDE/>
        <w:autoSpaceDN/>
        <w:bidi w:val="0"/>
        <w:adjustRightInd/>
        <w:snapToGrid w:val="0"/>
        <w:spacing w:line="520" w:lineRule="exact"/>
        <w:ind w:firstLine="480" w:firstLineChars="200"/>
        <w:jc w:val="both"/>
        <w:textAlignment w:val="auto"/>
        <w:rPr>
          <w:rFonts w:ascii="宋体" w:hAnsi="宋体" w:eastAsia="宋体" w:cs="Times New Roman"/>
          <w:sz w:val="24"/>
          <w:szCs w:val="24"/>
        </w:rPr>
      </w:pPr>
      <w:r>
        <w:rPr>
          <w:rFonts w:hint="eastAsia" w:ascii="宋体" w:hAnsi="宋体" w:eastAsia="宋体" w:cs="Times New Roman"/>
          <w:sz w:val="24"/>
          <w:szCs w:val="24"/>
        </w:rPr>
        <w:t>2.服务地点：采购人指定地点。</w:t>
      </w:r>
    </w:p>
    <w:p w14:paraId="7158A417">
      <w:pPr>
        <w:keepNext w:val="0"/>
        <w:keepLines w:val="0"/>
        <w:pageBreakBefore w:val="0"/>
        <w:widowControl w:val="0"/>
        <w:numPr>
          <w:ilvl w:val="0"/>
          <w:numId w:val="20"/>
        </w:numPr>
        <w:tabs>
          <w:tab w:val="left" w:pos="312"/>
          <w:tab w:val="clear" w:pos="0"/>
        </w:tabs>
        <w:kinsoku/>
        <w:wordWrap/>
        <w:overflowPunct/>
        <w:topLinePunct w:val="0"/>
        <w:autoSpaceDE/>
        <w:autoSpaceDN/>
        <w:bidi w:val="0"/>
        <w:adjustRightInd/>
        <w:snapToGrid/>
        <w:spacing w:line="520" w:lineRule="exact"/>
        <w:ind w:left="0" w:leftChars="0" w:firstLine="482" w:firstLineChars="200"/>
        <w:textAlignment w:val="auto"/>
        <w:outlineLvl w:val="1"/>
        <w:rPr>
          <w:rFonts w:hint="eastAsia" w:asciiTheme="minorEastAsia" w:hAnsiTheme="minorEastAsia" w:eastAsiaTheme="minorEastAsia" w:cstheme="minorEastAsia"/>
          <w:b/>
          <w:bCs/>
          <w:sz w:val="24"/>
          <w:szCs w:val="24"/>
          <w:lang w:val="en-US" w:eastAsia="zh-CN"/>
        </w:rPr>
      </w:pPr>
      <w:bookmarkStart w:id="479" w:name="_Toc23658"/>
      <w:bookmarkStart w:id="480" w:name="_Toc27773"/>
      <w:bookmarkStart w:id="481" w:name="_Toc23018"/>
      <w:r>
        <w:rPr>
          <w:rFonts w:hint="eastAsia" w:asciiTheme="minorEastAsia" w:hAnsiTheme="minorEastAsia" w:eastAsiaTheme="minorEastAsia" w:cstheme="minorEastAsia"/>
          <w:b/>
          <w:bCs/>
          <w:sz w:val="24"/>
          <w:szCs w:val="24"/>
          <w:lang w:val="en-US" w:eastAsia="zh-CN"/>
        </w:rPr>
        <w:t>付款方式</w:t>
      </w:r>
      <w:bookmarkEnd w:id="479"/>
    </w:p>
    <w:p w14:paraId="5B3AF6C4">
      <w:pPr>
        <w:pStyle w:val="40"/>
        <w:keepNext w:val="0"/>
        <w:keepLines w:val="0"/>
        <w:pageBreakBefore w:val="0"/>
        <w:widowControl w:val="0"/>
        <w:numPr>
          <w:ilvl w:val="1"/>
          <w:numId w:val="0"/>
        </w:numPr>
        <w:kinsoku/>
        <w:wordWrap w:val="0"/>
        <w:overflowPunct/>
        <w:topLinePunct/>
        <w:autoSpaceDE/>
        <w:autoSpaceDN/>
        <w:bidi w:val="0"/>
        <w:spacing w:line="520" w:lineRule="exact"/>
        <w:ind w:firstLine="480" w:firstLineChars="200"/>
        <w:jc w:val="both"/>
        <w:textAlignment w:val="auto"/>
        <w:outlineLvl w:val="9"/>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1.出具清标报告、工程项目基础部分完工后出具《工程造价控制与工程管理评价报告》、工程项目主体部分完工后出具《工程造价控制与工程管理评价报告》、工程项目通过正式竣工验收后出具《工程造价控制与工程管理评价报告》、工程项目竣工结算审计完毕，交接所有的审计资料及相关票据，达到付款条件起15日内，支付合同总金额100%(以结算审定金额为计算基数)。</w:t>
      </w:r>
    </w:p>
    <w:p w14:paraId="2F773E56">
      <w:pPr>
        <w:pStyle w:val="40"/>
        <w:keepNext w:val="0"/>
        <w:keepLines w:val="0"/>
        <w:pageBreakBefore w:val="0"/>
        <w:widowControl w:val="0"/>
        <w:numPr>
          <w:ilvl w:val="1"/>
          <w:numId w:val="0"/>
        </w:numPr>
        <w:kinsoku/>
        <w:wordWrap w:val="0"/>
        <w:overflowPunct/>
        <w:topLinePunct/>
        <w:autoSpaceDE/>
        <w:autoSpaceDN/>
        <w:bidi w:val="0"/>
        <w:spacing w:line="520" w:lineRule="exact"/>
        <w:ind w:firstLine="480" w:firstLineChars="200"/>
        <w:jc w:val="both"/>
        <w:textAlignment w:val="auto"/>
        <w:outlineLvl w:val="9"/>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2.成交供应商应提交合法有效且经采购人认可的等额增值税普通发票，如因成交供应商提供发票不符合要求导致采购人未付款的，不视为采购人违约，采购人不承担违约责任。</w:t>
      </w:r>
    </w:p>
    <w:p w14:paraId="3209593B">
      <w:pPr>
        <w:keepNext w:val="0"/>
        <w:keepLines w:val="0"/>
        <w:pageBreakBefore w:val="0"/>
        <w:widowControl w:val="0"/>
        <w:numPr>
          <w:ilvl w:val="0"/>
          <w:numId w:val="20"/>
        </w:numPr>
        <w:tabs>
          <w:tab w:val="left" w:pos="312"/>
          <w:tab w:val="clear" w:pos="0"/>
        </w:tabs>
        <w:kinsoku/>
        <w:wordWrap w:val="0"/>
        <w:overflowPunct/>
        <w:topLinePunct/>
        <w:autoSpaceDE/>
        <w:autoSpaceDN/>
        <w:bidi w:val="0"/>
        <w:adjustRightInd/>
        <w:snapToGrid/>
        <w:spacing w:line="520" w:lineRule="exact"/>
        <w:ind w:left="0" w:leftChars="0" w:firstLine="482" w:firstLineChars="200"/>
        <w:textAlignment w:val="auto"/>
        <w:outlineLvl w:val="1"/>
        <w:rPr>
          <w:rFonts w:hint="eastAsia" w:asciiTheme="minorEastAsia" w:hAnsiTheme="minorEastAsia" w:eastAsiaTheme="minorEastAsia" w:cstheme="minorEastAsia"/>
          <w:b/>
          <w:bCs/>
          <w:sz w:val="24"/>
          <w:szCs w:val="24"/>
          <w:lang w:val="en-US" w:eastAsia="zh-CN"/>
        </w:rPr>
      </w:pPr>
      <w:bookmarkStart w:id="482" w:name="_Toc20093"/>
      <w:bookmarkStart w:id="483" w:name="_Toc19398"/>
      <w:r>
        <w:rPr>
          <w:rFonts w:hint="eastAsia" w:asciiTheme="minorEastAsia" w:hAnsiTheme="minorEastAsia" w:eastAsiaTheme="minorEastAsia" w:cstheme="minorEastAsia"/>
          <w:b/>
          <w:bCs/>
          <w:sz w:val="24"/>
          <w:szCs w:val="24"/>
          <w:lang w:val="en-US" w:eastAsia="zh-CN"/>
        </w:rPr>
        <w:t>保险</w:t>
      </w:r>
      <w:bookmarkEnd w:id="480"/>
      <w:bookmarkEnd w:id="481"/>
      <w:bookmarkEnd w:id="482"/>
      <w:bookmarkEnd w:id="483"/>
    </w:p>
    <w:p w14:paraId="4291E097">
      <w:pPr>
        <w:pStyle w:val="32"/>
        <w:keepNext w:val="0"/>
        <w:keepLines w:val="0"/>
        <w:pageBreakBefore w:val="0"/>
        <w:widowControl w:val="0"/>
        <w:numPr>
          <w:ilvl w:val="4"/>
          <w:numId w:val="0"/>
        </w:numPr>
        <w:kinsoku/>
        <w:wordWrap w:val="0"/>
        <w:overflowPunct/>
        <w:topLinePunct/>
        <w:autoSpaceDE/>
        <w:autoSpaceDN/>
        <w:bidi w:val="0"/>
        <w:spacing w:before="0" w:after="0" w:line="520" w:lineRule="exact"/>
        <w:ind w:firstLine="480" w:firstLineChars="200"/>
        <w:textAlignment w:val="auto"/>
        <w:outlineLvl w:val="9"/>
        <w:rPr>
          <w:rFonts w:hint="eastAsia" w:asciiTheme="minorEastAsia" w:hAnsiTheme="minorEastAsia" w:eastAsiaTheme="minorEastAsia" w:cstheme="minorEastAsia"/>
          <w:b w:val="0"/>
          <w:kern w:val="2"/>
          <w:sz w:val="24"/>
          <w:szCs w:val="24"/>
          <w:lang w:val="en-US" w:eastAsia="zh-CN" w:bidi="ar-SA"/>
        </w:rPr>
      </w:pPr>
      <w:bookmarkStart w:id="484" w:name="_Toc32286_WPSOffice_Level2"/>
      <w:bookmarkStart w:id="485" w:name="_Toc27313"/>
      <w:r>
        <w:rPr>
          <w:rFonts w:hint="eastAsia" w:asciiTheme="minorEastAsia" w:hAnsiTheme="minorEastAsia" w:eastAsiaTheme="minorEastAsia" w:cstheme="minorEastAsia"/>
          <w:b w:val="0"/>
          <w:kern w:val="2"/>
          <w:sz w:val="24"/>
          <w:szCs w:val="24"/>
          <w:lang w:val="en-US" w:eastAsia="zh-CN" w:bidi="ar-SA"/>
        </w:rPr>
        <w:t>1.供应商应当遵守国家有关消防、安全、生产操作、劳动保护等方面的规定，并根据自身实际情况和项目履约实际情况，购买涉及上述履约风险的对应保险，保险金额以抵消可能发生的事故因其发生所造成的财产、人身损失承担赔偿保险金责任，维护保险标的的安全。</w:t>
      </w:r>
    </w:p>
    <w:p w14:paraId="2DC3D5EE">
      <w:pPr>
        <w:pStyle w:val="32"/>
        <w:keepNext w:val="0"/>
        <w:keepLines w:val="0"/>
        <w:pageBreakBefore w:val="0"/>
        <w:widowControl w:val="0"/>
        <w:numPr>
          <w:ilvl w:val="4"/>
          <w:numId w:val="0"/>
        </w:numPr>
        <w:kinsoku/>
        <w:wordWrap w:val="0"/>
        <w:overflowPunct/>
        <w:topLinePunct/>
        <w:autoSpaceDE/>
        <w:autoSpaceDN/>
        <w:bidi w:val="0"/>
        <w:spacing w:before="0" w:after="0" w:line="520" w:lineRule="exact"/>
        <w:ind w:firstLine="480" w:firstLineChars="200"/>
        <w:textAlignment w:val="auto"/>
        <w:outlineLvl w:val="9"/>
        <w:rPr>
          <w:rFonts w:hint="eastAsia" w:asciiTheme="minorEastAsia" w:hAnsiTheme="minorEastAsia" w:eastAsiaTheme="minorEastAsia" w:cstheme="minorEastAsia"/>
          <w:b w:val="0"/>
          <w:kern w:val="2"/>
          <w:sz w:val="24"/>
          <w:szCs w:val="24"/>
          <w:highlight w:val="none"/>
          <w:lang w:val="en-US" w:eastAsia="zh-CN" w:bidi="ar-SA"/>
        </w:rPr>
      </w:pPr>
      <w:r>
        <w:rPr>
          <w:rFonts w:hint="eastAsia" w:asciiTheme="minorEastAsia" w:hAnsiTheme="minorEastAsia" w:eastAsiaTheme="minorEastAsia" w:cstheme="minorEastAsia"/>
          <w:b w:val="0"/>
          <w:kern w:val="2"/>
          <w:sz w:val="24"/>
          <w:szCs w:val="24"/>
          <w:highlight w:val="none"/>
          <w:lang w:val="en-US" w:eastAsia="zh-CN" w:bidi="ar-SA"/>
        </w:rPr>
        <w:t>2.供应商应为本项目提供履约的所有人员按照国家规定购买相关保险。</w:t>
      </w:r>
    </w:p>
    <w:p w14:paraId="4757370C">
      <w:pPr>
        <w:keepNext w:val="0"/>
        <w:keepLines w:val="0"/>
        <w:pageBreakBefore w:val="0"/>
        <w:widowControl w:val="0"/>
        <w:numPr>
          <w:ilvl w:val="0"/>
          <w:numId w:val="20"/>
        </w:numPr>
        <w:tabs>
          <w:tab w:val="left" w:pos="312"/>
          <w:tab w:val="clear" w:pos="0"/>
        </w:tabs>
        <w:kinsoku/>
        <w:wordWrap w:val="0"/>
        <w:overflowPunct/>
        <w:topLinePunct/>
        <w:autoSpaceDE/>
        <w:autoSpaceDN/>
        <w:bidi w:val="0"/>
        <w:adjustRightInd/>
        <w:snapToGrid/>
        <w:spacing w:line="520" w:lineRule="exact"/>
        <w:ind w:left="0" w:leftChars="0" w:firstLine="482" w:firstLineChars="200"/>
        <w:textAlignment w:val="auto"/>
        <w:outlineLvl w:val="1"/>
        <w:rPr>
          <w:rFonts w:hint="eastAsia" w:asciiTheme="minorEastAsia" w:hAnsiTheme="minorEastAsia" w:eastAsiaTheme="minorEastAsia" w:cstheme="minorEastAsia"/>
          <w:b/>
          <w:bCs/>
          <w:sz w:val="24"/>
          <w:szCs w:val="24"/>
          <w:lang w:val="en-US" w:eastAsia="zh-CN"/>
        </w:rPr>
      </w:pPr>
      <w:bookmarkStart w:id="486" w:name="_Toc21032"/>
      <w:bookmarkStart w:id="487" w:name="_Toc5173"/>
      <w:bookmarkStart w:id="488" w:name="_Toc13048"/>
      <w:bookmarkStart w:id="489" w:name="_Toc24953"/>
      <w:r>
        <w:rPr>
          <w:rFonts w:hint="eastAsia" w:asciiTheme="minorEastAsia" w:hAnsiTheme="minorEastAsia" w:eastAsiaTheme="minorEastAsia" w:cstheme="minorEastAsia"/>
          <w:b/>
          <w:bCs/>
          <w:sz w:val="24"/>
          <w:szCs w:val="24"/>
          <w:lang w:val="en-US" w:eastAsia="zh-CN"/>
        </w:rPr>
        <w:t>项目验收方法和标准</w:t>
      </w:r>
      <w:bookmarkEnd w:id="486"/>
    </w:p>
    <w:p w14:paraId="2E4C4D09">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1.验收组织方式：</w:t>
      </w:r>
      <w:sdt>
        <w:sdtPr>
          <w:rPr>
            <w:rFonts w:hint="eastAsia" w:asciiTheme="minorEastAsia" w:hAnsiTheme="minorEastAsia" w:eastAsiaTheme="minorEastAsia" w:cstheme="minorEastAsia"/>
            <w:color w:val="auto"/>
            <w:kern w:val="0"/>
            <w:sz w:val="24"/>
            <w:szCs w:val="24"/>
            <w:highlight w:val="none"/>
            <w:lang w:val="en-US" w:eastAsia="zh-CN" w:bidi="ar-SA"/>
          </w:rPr>
          <w:id w:val="-1396510173"/>
          <w:lock w:val="sdtLocked"/>
          <w:placeholder>
            <w:docPart w:val="{b8a54e21-9388-48ea-8660-b9dcb5a5c020}"/>
          </w:placeholder>
          <w:dropDownList>
            <w:listItem w:value="选择一项。"/>
            <w:listItem w:displayText="自行验收" w:value="自行验收"/>
            <w:listItem w:displayText="委托第三方验收" w:value="委托第三方验收"/>
          </w:dropDownList>
        </w:sdtPr>
        <w:sdtEndPr>
          <w:rPr>
            <w:rFonts w:hint="eastAsia" w:asciiTheme="minorEastAsia" w:hAnsiTheme="minorEastAsia" w:eastAsiaTheme="minorEastAsia" w:cstheme="minorEastAsia"/>
            <w:color w:val="auto"/>
            <w:kern w:val="0"/>
            <w:sz w:val="24"/>
            <w:szCs w:val="24"/>
            <w:highlight w:val="none"/>
            <w:lang w:val="en-US" w:eastAsia="zh-CN" w:bidi="ar-SA"/>
          </w:rPr>
        </w:sdtEndPr>
        <w:sdtContent>
          <w:r>
            <w:rPr>
              <w:rFonts w:hint="eastAsia" w:asciiTheme="minorEastAsia" w:hAnsiTheme="minorEastAsia" w:eastAsiaTheme="minorEastAsia" w:cstheme="minorEastAsia"/>
              <w:color w:val="auto"/>
              <w:kern w:val="0"/>
              <w:sz w:val="24"/>
              <w:szCs w:val="24"/>
              <w:highlight w:val="none"/>
              <w:lang w:val="en-US" w:eastAsia="zh-CN" w:bidi="ar-SA"/>
            </w:rPr>
            <w:t>自行验收</w:t>
          </w:r>
        </w:sdtContent>
      </w:sdt>
      <w:r>
        <w:rPr>
          <w:rFonts w:hint="eastAsia" w:asciiTheme="minorEastAsia" w:hAnsiTheme="minorEastAsia" w:eastAsiaTheme="minorEastAsia" w:cstheme="minorEastAsia"/>
          <w:color w:val="auto"/>
          <w:kern w:val="0"/>
          <w:sz w:val="24"/>
          <w:szCs w:val="24"/>
          <w:highlight w:val="none"/>
          <w:lang w:val="en-US" w:eastAsia="zh-CN" w:bidi="ar-SA"/>
        </w:rPr>
        <w:t xml:space="preserve"> </w:t>
      </w:r>
    </w:p>
    <w:p w14:paraId="403426DE">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2.是否邀请本项目的其他供应商：</w:t>
      </w:r>
      <w:bookmarkStart w:id="490" w:name="OLE_LINK5"/>
      <w:sdt>
        <w:sdtPr>
          <w:rPr>
            <w:rFonts w:hint="eastAsia" w:asciiTheme="minorEastAsia" w:hAnsiTheme="minorEastAsia" w:eastAsiaTheme="minorEastAsia" w:cstheme="minorEastAsia"/>
            <w:color w:val="auto"/>
            <w:kern w:val="0"/>
            <w:sz w:val="24"/>
            <w:szCs w:val="24"/>
            <w:highlight w:val="none"/>
            <w:lang w:val="en-US" w:eastAsia="zh-CN" w:bidi="ar-SA"/>
          </w:rPr>
          <w:id w:val="-1454865773"/>
          <w:lock w:val="sdtLocked"/>
          <w:placeholder>
            <w:docPart w:val="{8c9a5517-eb60-4a77-8413-753c2dd3e72f}"/>
          </w:placeholder>
          <w:dropDownList>
            <w:listItem w:value="选择一项。"/>
            <w:listItem w:displayText="是" w:value="是"/>
            <w:listItem w:displayText="否" w:value="否"/>
          </w:dropDownList>
        </w:sdtPr>
        <w:sdtEndPr>
          <w:rPr>
            <w:rFonts w:hint="eastAsia" w:asciiTheme="minorEastAsia" w:hAnsiTheme="minorEastAsia" w:eastAsiaTheme="minorEastAsia" w:cstheme="minorEastAsia"/>
            <w:color w:val="auto"/>
            <w:kern w:val="0"/>
            <w:sz w:val="24"/>
            <w:szCs w:val="24"/>
            <w:highlight w:val="none"/>
            <w:lang w:val="en-US" w:eastAsia="zh-CN" w:bidi="ar-SA"/>
          </w:rPr>
        </w:sdtEndPr>
        <w:sdtContent>
          <w:r>
            <w:rPr>
              <w:rFonts w:hint="eastAsia" w:asciiTheme="minorEastAsia" w:hAnsiTheme="minorEastAsia" w:eastAsiaTheme="minorEastAsia" w:cstheme="minorEastAsia"/>
              <w:color w:val="auto"/>
              <w:kern w:val="0"/>
              <w:sz w:val="24"/>
              <w:szCs w:val="24"/>
              <w:highlight w:val="none"/>
              <w:lang w:val="en-US" w:eastAsia="zh-CN" w:bidi="ar-SA"/>
            </w:rPr>
            <w:t>否</w:t>
          </w:r>
        </w:sdtContent>
      </w:sdt>
      <w:bookmarkEnd w:id="490"/>
    </w:p>
    <w:p w14:paraId="2BC3DFE7">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 xml:space="preserve">3.是否邀请专家： </w:t>
      </w:r>
      <w:sdt>
        <w:sdtPr>
          <w:rPr>
            <w:rFonts w:hint="eastAsia" w:asciiTheme="minorEastAsia" w:hAnsiTheme="minorEastAsia" w:eastAsiaTheme="minorEastAsia" w:cstheme="minorEastAsia"/>
            <w:color w:val="auto"/>
            <w:kern w:val="0"/>
            <w:sz w:val="24"/>
            <w:szCs w:val="24"/>
            <w:highlight w:val="none"/>
            <w:lang w:val="en-US" w:eastAsia="zh-CN" w:bidi="ar-SA"/>
          </w:rPr>
          <w:id w:val="-739789153"/>
          <w:lock w:val="sdtLocked"/>
          <w:placeholder>
            <w:docPart w:val="{59222e33-d466-4bfe-8952-6ad0f6cc148c}"/>
          </w:placeholder>
          <w:dropDownList>
            <w:listItem w:value="选择一项。"/>
            <w:listItem w:displayText="是" w:value="是"/>
            <w:listItem w:displayText="否" w:value="否"/>
          </w:dropDownList>
        </w:sdtPr>
        <w:sdtEndPr>
          <w:rPr>
            <w:rFonts w:hint="eastAsia" w:asciiTheme="minorEastAsia" w:hAnsiTheme="minorEastAsia" w:eastAsiaTheme="minorEastAsia" w:cstheme="minorEastAsia"/>
            <w:color w:val="auto"/>
            <w:kern w:val="0"/>
            <w:sz w:val="24"/>
            <w:szCs w:val="24"/>
            <w:highlight w:val="none"/>
            <w:lang w:val="en-US" w:eastAsia="zh-CN" w:bidi="ar-SA"/>
          </w:rPr>
        </w:sdtEndPr>
        <w:sdtContent>
          <w:r>
            <w:rPr>
              <w:rFonts w:hint="eastAsia" w:asciiTheme="minorEastAsia" w:hAnsiTheme="minorEastAsia" w:eastAsiaTheme="minorEastAsia" w:cstheme="minorEastAsia"/>
              <w:color w:val="auto"/>
              <w:kern w:val="0"/>
              <w:sz w:val="24"/>
              <w:szCs w:val="24"/>
              <w:highlight w:val="none"/>
              <w:lang w:val="en-US" w:eastAsia="zh-CN" w:bidi="ar-SA"/>
            </w:rPr>
            <w:t>否</w:t>
          </w:r>
        </w:sdtContent>
      </w:sdt>
    </w:p>
    <w:p w14:paraId="5240DAA4">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4.是否邀请服务对象：</w:t>
      </w:r>
      <w:sdt>
        <w:sdtPr>
          <w:rPr>
            <w:rFonts w:hint="eastAsia" w:asciiTheme="minorEastAsia" w:hAnsiTheme="minorEastAsia" w:eastAsiaTheme="minorEastAsia" w:cstheme="minorEastAsia"/>
            <w:color w:val="auto"/>
            <w:kern w:val="0"/>
            <w:sz w:val="24"/>
            <w:szCs w:val="24"/>
            <w:highlight w:val="none"/>
            <w:lang w:val="en-US" w:eastAsia="zh-CN" w:bidi="ar-SA"/>
          </w:rPr>
          <w:id w:val="660974283"/>
          <w:lock w:val="sdtLocked"/>
          <w:placeholder>
            <w:docPart w:val="{aa2c562d-610f-40d7-bd86-06ee04901a83}"/>
          </w:placeholder>
          <w:dropDownList>
            <w:listItem w:value="选择一项。"/>
            <w:listItem w:displayText="是" w:value="是"/>
            <w:listItem w:displayText="否" w:value="否"/>
          </w:dropDownList>
        </w:sdtPr>
        <w:sdtEndPr>
          <w:rPr>
            <w:rFonts w:hint="eastAsia" w:asciiTheme="minorEastAsia" w:hAnsiTheme="minorEastAsia" w:eastAsiaTheme="minorEastAsia" w:cstheme="minorEastAsia"/>
            <w:color w:val="auto"/>
            <w:kern w:val="0"/>
            <w:sz w:val="24"/>
            <w:szCs w:val="24"/>
            <w:highlight w:val="none"/>
            <w:lang w:val="en-US" w:eastAsia="zh-CN" w:bidi="ar-SA"/>
          </w:rPr>
        </w:sdtEndPr>
        <w:sdtContent>
          <w:r>
            <w:rPr>
              <w:rFonts w:hint="eastAsia" w:asciiTheme="minorEastAsia" w:hAnsiTheme="minorEastAsia" w:eastAsiaTheme="minorEastAsia" w:cstheme="minorEastAsia"/>
              <w:color w:val="auto"/>
              <w:kern w:val="0"/>
              <w:sz w:val="24"/>
              <w:szCs w:val="24"/>
              <w:highlight w:val="none"/>
              <w:lang w:val="en-US" w:eastAsia="zh-CN" w:bidi="ar-SA"/>
            </w:rPr>
            <w:t>否</w:t>
          </w:r>
        </w:sdtContent>
      </w:sdt>
      <w:r>
        <w:rPr>
          <w:rFonts w:hint="eastAsia" w:asciiTheme="minorEastAsia" w:hAnsiTheme="minorEastAsia" w:eastAsiaTheme="minorEastAsia" w:cstheme="minorEastAsia"/>
          <w:color w:val="auto"/>
          <w:kern w:val="0"/>
          <w:sz w:val="24"/>
          <w:szCs w:val="24"/>
          <w:highlight w:val="none"/>
          <w:lang w:val="en-US" w:eastAsia="zh-CN" w:bidi="ar-SA"/>
        </w:rPr>
        <w:t xml:space="preserve"> </w:t>
      </w:r>
    </w:p>
    <w:p w14:paraId="5C4F0663">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5.是否邀请第三方检测机构：</w:t>
      </w:r>
      <w:sdt>
        <w:sdtPr>
          <w:rPr>
            <w:rFonts w:hint="eastAsia" w:asciiTheme="minorEastAsia" w:hAnsiTheme="minorEastAsia" w:eastAsiaTheme="minorEastAsia" w:cstheme="minorEastAsia"/>
            <w:color w:val="auto"/>
            <w:kern w:val="0"/>
            <w:sz w:val="24"/>
            <w:szCs w:val="24"/>
            <w:highlight w:val="none"/>
            <w:lang w:val="en-US" w:eastAsia="zh-CN" w:bidi="ar-SA"/>
          </w:rPr>
          <w:id w:val="1153959468"/>
          <w:lock w:val="sdtLocked"/>
          <w:placeholder>
            <w:docPart w:val="{0a9fdbf9-0954-4898-b22a-86a9f11e7330}"/>
          </w:placeholder>
          <w:dropDownList>
            <w:listItem w:value="选择一项。"/>
            <w:listItem w:displayText="是" w:value="是"/>
            <w:listItem w:displayText="否" w:value="否"/>
          </w:dropDownList>
        </w:sdtPr>
        <w:sdtEndPr>
          <w:rPr>
            <w:rFonts w:hint="eastAsia" w:asciiTheme="minorEastAsia" w:hAnsiTheme="minorEastAsia" w:eastAsiaTheme="minorEastAsia" w:cstheme="minorEastAsia"/>
            <w:color w:val="auto"/>
            <w:kern w:val="0"/>
            <w:sz w:val="24"/>
            <w:szCs w:val="24"/>
            <w:highlight w:val="none"/>
            <w:lang w:val="en-US" w:eastAsia="zh-CN" w:bidi="ar-SA"/>
          </w:rPr>
        </w:sdtEndPr>
        <w:sdtContent>
          <w:r>
            <w:rPr>
              <w:rFonts w:hint="eastAsia" w:asciiTheme="minorEastAsia" w:hAnsiTheme="minorEastAsia" w:eastAsiaTheme="minorEastAsia" w:cstheme="minorEastAsia"/>
              <w:color w:val="auto"/>
              <w:kern w:val="0"/>
              <w:sz w:val="24"/>
              <w:szCs w:val="24"/>
              <w:highlight w:val="none"/>
              <w:lang w:val="en-US" w:eastAsia="zh-CN" w:bidi="ar-SA"/>
            </w:rPr>
            <w:t>否</w:t>
          </w:r>
        </w:sdtContent>
      </w:sdt>
    </w:p>
    <w:p w14:paraId="5EB4DFFA">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6.履约验收程序：</w:t>
      </w:r>
      <w:sdt>
        <w:sdtPr>
          <w:rPr>
            <w:rFonts w:hint="eastAsia" w:asciiTheme="minorEastAsia" w:hAnsiTheme="minorEastAsia" w:eastAsiaTheme="minorEastAsia" w:cstheme="minorEastAsia"/>
            <w:color w:val="auto"/>
            <w:kern w:val="0"/>
            <w:sz w:val="24"/>
            <w:szCs w:val="24"/>
            <w:highlight w:val="none"/>
            <w:lang w:val="en-US" w:eastAsia="zh-CN" w:bidi="ar-SA"/>
          </w:rPr>
          <w:id w:val="1249761"/>
          <w:lock w:val="sdtLocked"/>
          <w:placeholder>
            <w:docPart w:val="{515b1c55-bb8e-4a1d-9404-cc1babca94f6}"/>
          </w:placeholder>
          <w:dropDownList>
            <w:listItem w:value="选择一项。"/>
            <w:listItem w:displayText="一次性验收" w:value="一次性验收"/>
            <w:listItem w:displayText="分阶段验收" w:value="分阶段验收"/>
          </w:dropDownList>
        </w:sdtPr>
        <w:sdtEndPr>
          <w:rPr>
            <w:rFonts w:hint="eastAsia" w:asciiTheme="minorEastAsia" w:hAnsiTheme="minorEastAsia" w:eastAsiaTheme="minorEastAsia" w:cstheme="minorEastAsia"/>
            <w:color w:val="auto"/>
            <w:kern w:val="0"/>
            <w:sz w:val="24"/>
            <w:szCs w:val="24"/>
            <w:highlight w:val="none"/>
            <w:lang w:val="en-US" w:eastAsia="zh-CN" w:bidi="ar-SA"/>
          </w:rPr>
        </w:sdtEndPr>
        <w:sdtContent>
          <w:r>
            <w:rPr>
              <w:rFonts w:hint="eastAsia" w:asciiTheme="minorEastAsia" w:hAnsiTheme="minorEastAsia" w:eastAsiaTheme="minorEastAsia" w:cstheme="minorEastAsia"/>
              <w:color w:val="auto"/>
              <w:kern w:val="0"/>
              <w:sz w:val="24"/>
              <w:szCs w:val="24"/>
              <w:highlight w:val="none"/>
              <w:lang w:val="en-US" w:eastAsia="zh-CN" w:bidi="ar-SA"/>
            </w:rPr>
            <w:t>一次性验收</w:t>
          </w:r>
        </w:sdtContent>
      </w:sdt>
      <w:r>
        <w:rPr>
          <w:rFonts w:hint="eastAsia" w:asciiTheme="minorEastAsia" w:hAnsiTheme="minorEastAsia" w:eastAsiaTheme="minorEastAsia" w:cstheme="minorEastAsia"/>
          <w:color w:val="auto"/>
          <w:kern w:val="0"/>
          <w:sz w:val="24"/>
          <w:szCs w:val="24"/>
          <w:highlight w:val="none"/>
          <w:lang w:val="en-US" w:eastAsia="zh-CN" w:bidi="ar-SA"/>
        </w:rPr>
        <w:t xml:space="preserve"> </w:t>
      </w:r>
    </w:p>
    <w:p w14:paraId="1A2F768A">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7.履约验收时间：工程项目竣工结算审计完毕，交接所有的审计资料及相关票据，供应商提出验收申请之日起，达到验收条件15日内，验收合同总金额100%。</w:t>
      </w:r>
    </w:p>
    <w:p w14:paraId="4997C07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8.</w:t>
      </w:r>
      <w:r>
        <w:rPr>
          <w:rFonts w:hint="default" w:asciiTheme="minorEastAsia" w:hAnsiTheme="minorEastAsia" w:eastAsiaTheme="minorEastAsia" w:cstheme="minorEastAsia"/>
          <w:color w:val="auto"/>
          <w:kern w:val="0"/>
          <w:sz w:val="24"/>
          <w:szCs w:val="24"/>
          <w:highlight w:val="none"/>
          <w:lang w:val="en-US" w:eastAsia="zh-CN" w:bidi="ar-SA"/>
        </w:rPr>
        <w:t>验收组织的其他事项：</w:t>
      </w:r>
    </w:p>
    <w:p w14:paraId="36A2FD82">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default" w:asciiTheme="minorEastAsia" w:hAnsiTheme="minorEastAsia" w:eastAsiaTheme="minorEastAsia" w:cstheme="minorEastAsia"/>
          <w:color w:val="auto"/>
          <w:kern w:val="0"/>
          <w:sz w:val="24"/>
          <w:szCs w:val="24"/>
          <w:highlight w:val="none"/>
          <w:lang w:val="en-US" w:eastAsia="zh-CN" w:bidi="ar-SA"/>
        </w:rPr>
        <w:t>按合同约定组织验收。</w:t>
      </w:r>
    </w:p>
    <w:p w14:paraId="197D805F">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9.</w:t>
      </w:r>
      <w:r>
        <w:rPr>
          <w:rFonts w:hint="default" w:asciiTheme="minorEastAsia" w:hAnsiTheme="minorEastAsia" w:eastAsiaTheme="minorEastAsia" w:cstheme="minorEastAsia"/>
          <w:color w:val="auto"/>
          <w:kern w:val="0"/>
          <w:sz w:val="24"/>
          <w:szCs w:val="24"/>
          <w:highlight w:val="none"/>
          <w:lang w:val="en-US" w:eastAsia="zh-CN" w:bidi="ar-SA"/>
        </w:rPr>
        <w:t>技术履约验收内容：</w:t>
      </w:r>
    </w:p>
    <w:p w14:paraId="08D73D00">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default" w:asciiTheme="minorEastAsia" w:hAnsiTheme="minorEastAsia" w:eastAsiaTheme="minorEastAsia" w:cstheme="minorEastAsia"/>
          <w:color w:val="auto"/>
          <w:kern w:val="0"/>
          <w:sz w:val="24"/>
          <w:szCs w:val="24"/>
          <w:highlight w:val="none"/>
          <w:lang w:val="en-US" w:eastAsia="zh-CN" w:bidi="ar-SA"/>
        </w:rPr>
        <w:t>采购人按照采购文件的要求、成交</w:t>
      </w:r>
      <w:r>
        <w:rPr>
          <w:rFonts w:hint="eastAsia" w:asciiTheme="minorEastAsia" w:hAnsiTheme="minorEastAsia" w:eastAsiaTheme="minorEastAsia" w:cstheme="minorEastAsia"/>
          <w:color w:val="auto"/>
          <w:kern w:val="0"/>
          <w:sz w:val="24"/>
          <w:szCs w:val="24"/>
          <w:highlight w:val="none"/>
          <w:lang w:val="en-US" w:eastAsia="zh-CN" w:bidi="ar-SA"/>
        </w:rPr>
        <w:t>(</w:t>
      </w:r>
      <w:r>
        <w:rPr>
          <w:rFonts w:hint="default" w:asciiTheme="minorEastAsia" w:hAnsiTheme="minorEastAsia" w:eastAsiaTheme="minorEastAsia" w:cstheme="minorEastAsia"/>
          <w:color w:val="auto"/>
          <w:kern w:val="0"/>
          <w:sz w:val="24"/>
          <w:szCs w:val="24"/>
          <w:highlight w:val="none"/>
          <w:lang w:val="en-US" w:eastAsia="zh-CN" w:bidi="ar-SA"/>
        </w:rPr>
        <w:t>中标</w:t>
      </w:r>
      <w:r>
        <w:rPr>
          <w:rFonts w:hint="eastAsia" w:asciiTheme="minorEastAsia" w:hAnsiTheme="minorEastAsia" w:eastAsiaTheme="minorEastAsia" w:cstheme="minorEastAsia"/>
          <w:color w:val="auto"/>
          <w:kern w:val="0"/>
          <w:sz w:val="24"/>
          <w:szCs w:val="24"/>
          <w:highlight w:val="none"/>
          <w:lang w:val="en-US" w:eastAsia="zh-CN" w:bidi="ar-SA"/>
        </w:rPr>
        <w:t>)</w:t>
      </w:r>
      <w:r>
        <w:rPr>
          <w:rFonts w:hint="default" w:asciiTheme="minorEastAsia" w:hAnsiTheme="minorEastAsia" w:eastAsiaTheme="minorEastAsia" w:cstheme="minorEastAsia"/>
          <w:color w:val="auto"/>
          <w:kern w:val="0"/>
          <w:sz w:val="24"/>
          <w:szCs w:val="24"/>
          <w:highlight w:val="none"/>
          <w:lang w:val="en-US" w:eastAsia="zh-CN" w:bidi="ar-SA"/>
        </w:rPr>
        <w:t>供应商的响应文件、合同相关约定进行验收。</w:t>
      </w:r>
    </w:p>
    <w:p w14:paraId="69E542E1">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10.</w:t>
      </w:r>
      <w:r>
        <w:rPr>
          <w:rFonts w:hint="default" w:asciiTheme="minorEastAsia" w:hAnsiTheme="minorEastAsia" w:eastAsiaTheme="minorEastAsia" w:cstheme="minorEastAsia"/>
          <w:color w:val="auto"/>
          <w:kern w:val="0"/>
          <w:sz w:val="24"/>
          <w:szCs w:val="24"/>
          <w:highlight w:val="none"/>
          <w:lang w:val="en-US" w:eastAsia="zh-CN" w:bidi="ar-SA"/>
        </w:rPr>
        <w:t>商务履约验收内容：</w:t>
      </w:r>
    </w:p>
    <w:p w14:paraId="71334AA3">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default" w:asciiTheme="minorEastAsia" w:hAnsiTheme="minorEastAsia" w:eastAsiaTheme="minorEastAsia" w:cstheme="minorEastAsia"/>
          <w:color w:val="auto"/>
          <w:kern w:val="0"/>
          <w:sz w:val="24"/>
          <w:szCs w:val="24"/>
          <w:highlight w:val="none"/>
          <w:lang w:val="en-US" w:eastAsia="zh-CN" w:bidi="ar-SA"/>
        </w:rPr>
        <w:t>采购人按照采购文件的要求、成交</w:t>
      </w:r>
      <w:r>
        <w:rPr>
          <w:rFonts w:hint="eastAsia" w:asciiTheme="minorEastAsia" w:hAnsiTheme="minorEastAsia" w:eastAsiaTheme="minorEastAsia" w:cstheme="minorEastAsia"/>
          <w:color w:val="auto"/>
          <w:kern w:val="0"/>
          <w:sz w:val="24"/>
          <w:szCs w:val="24"/>
          <w:highlight w:val="none"/>
          <w:lang w:val="en-US" w:eastAsia="zh-CN" w:bidi="ar-SA"/>
        </w:rPr>
        <w:t>(</w:t>
      </w:r>
      <w:r>
        <w:rPr>
          <w:rFonts w:hint="default" w:asciiTheme="minorEastAsia" w:hAnsiTheme="minorEastAsia" w:eastAsiaTheme="minorEastAsia" w:cstheme="minorEastAsia"/>
          <w:color w:val="auto"/>
          <w:kern w:val="0"/>
          <w:sz w:val="24"/>
          <w:szCs w:val="24"/>
          <w:highlight w:val="none"/>
          <w:lang w:val="en-US" w:eastAsia="zh-CN" w:bidi="ar-SA"/>
        </w:rPr>
        <w:t>中标</w:t>
      </w:r>
      <w:r>
        <w:rPr>
          <w:rFonts w:hint="eastAsia" w:asciiTheme="minorEastAsia" w:hAnsiTheme="minorEastAsia" w:eastAsiaTheme="minorEastAsia" w:cstheme="minorEastAsia"/>
          <w:color w:val="auto"/>
          <w:kern w:val="0"/>
          <w:sz w:val="24"/>
          <w:szCs w:val="24"/>
          <w:highlight w:val="none"/>
          <w:lang w:val="en-US" w:eastAsia="zh-CN" w:bidi="ar-SA"/>
        </w:rPr>
        <w:t>)</w:t>
      </w:r>
      <w:r>
        <w:rPr>
          <w:rFonts w:hint="default" w:asciiTheme="minorEastAsia" w:hAnsiTheme="minorEastAsia" w:eastAsiaTheme="minorEastAsia" w:cstheme="minorEastAsia"/>
          <w:color w:val="auto"/>
          <w:kern w:val="0"/>
          <w:sz w:val="24"/>
          <w:szCs w:val="24"/>
          <w:highlight w:val="none"/>
          <w:lang w:val="en-US" w:eastAsia="zh-CN" w:bidi="ar-SA"/>
        </w:rPr>
        <w:t>供应商的响应文件、合同相关约定进行验收。</w:t>
      </w:r>
    </w:p>
    <w:p w14:paraId="66A4CF5A">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11.</w:t>
      </w:r>
      <w:r>
        <w:rPr>
          <w:rFonts w:hint="default" w:asciiTheme="minorEastAsia" w:hAnsiTheme="minorEastAsia" w:eastAsiaTheme="minorEastAsia" w:cstheme="minorEastAsia"/>
          <w:color w:val="auto"/>
          <w:kern w:val="0"/>
          <w:sz w:val="24"/>
          <w:szCs w:val="24"/>
          <w:highlight w:val="none"/>
          <w:lang w:val="en-US" w:eastAsia="zh-CN" w:bidi="ar-SA"/>
        </w:rPr>
        <w:t>履约验收标准：</w:t>
      </w:r>
    </w:p>
    <w:p w14:paraId="65C9436C">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default" w:asciiTheme="minorEastAsia" w:hAnsiTheme="minorEastAsia" w:eastAsiaTheme="minorEastAsia" w:cstheme="minorEastAsia"/>
          <w:color w:val="auto"/>
          <w:kern w:val="0"/>
          <w:sz w:val="24"/>
          <w:szCs w:val="24"/>
          <w:highlight w:val="none"/>
          <w:lang w:val="en-US" w:eastAsia="zh-CN" w:bidi="ar-SA"/>
        </w:rPr>
        <w:t>采购人按照采购文件的要求、成交</w:t>
      </w:r>
      <w:r>
        <w:rPr>
          <w:rFonts w:hint="eastAsia" w:asciiTheme="minorEastAsia" w:hAnsiTheme="minorEastAsia" w:eastAsiaTheme="minorEastAsia" w:cstheme="minorEastAsia"/>
          <w:color w:val="auto"/>
          <w:kern w:val="0"/>
          <w:sz w:val="24"/>
          <w:szCs w:val="24"/>
          <w:highlight w:val="none"/>
          <w:lang w:val="en-US" w:eastAsia="zh-CN" w:bidi="ar-SA"/>
        </w:rPr>
        <w:t>(</w:t>
      </w:r>
      <w:r>
        <w:rPr>
          <w:rFonts w:hint="default" w:asciiTheme="minorEastAsia" w:hAnsiTheme="minorEastAsia" w:eastAsiaTheme="minorEastAsia" w:cstheme="minorEastAsia"/>
          <w:color w:val="auto"/>
          <w:kern w:val="0"/>
          <w:sz w:val="24"/>
          <w:szCs w:val="24"/>
          <w:highlight w:val="none"/>
          <w:lang w:val="en-US" w:eastAsia="zh-CN" w:bidi="ar-SA"/>
        </w:rPr>
        <w:t>中标</w:t>
      </w:r>
      <w:r>
        <w:rPr>
          <w:rFonts w:hint="eastAsia" w:asciiTheme="minorEastAsia" w:hAnsiTheme="minorEastAsia" w:eastAsiaTheme="minorEastAsia" w:cstheme="minorEastAsia"/>
          <w:color w:val="auto"/>
          <w:kern w:val="0"/>
          <w:sz w:val="24"/>
          <w:szCs w:val="24"/>
          <w:highlight w:val="none"/>
          <w:lang w:val="en-US" w:eastAsia="zh-CN" w:bidi="ar-SA"/>
        </w:rPr>
        <w:t>)</w:t>
      </w:r>
      <w:r>
        <w:rPr>
          <w:rFonts w:hint="default" w:asciiTheme="minorEastAsia" w:hAnsiTheme="minorEastAsia" w:eastAsiaTheme="minorEastAsia" w:cstheme="minorEastAsia"/>
          <w:color w:val="auto"/>
          <w:kern w:val="0"/>
          <w:sz w:val="24"/>
          <w:szCs w:val="24"/>
          <w:highlight w:val="none"/>
          <w:lang w:val="en-US" w:eastAsia="zh-CN" w:bidi="ar-SA"/>
        </w:rPr>
        <w:t>供应商的响应文件、合同相关约定进行验收。</w:t>
      </w:r>
    </w:p>
    <w:p w14:paraId="72741720">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12.</w:t>
      </w:r>
      <w:r>
        <w:rPr>
          <w:rFonts w:hint="default" w:asciiTheme="minorEastAsia" w:hAnsiTheme="minorEastAsia" w:eastAsiaTheme="minorEastAsia" w:cstheme="minorEastAsia"/>
          <w:color w:val="auto"/>
          <w:kern w:val="0"/>
          <w:sz w:val="24"/>
          <w:szCs w:val="24"/>
          <w:highlight w:val="none"/>
          <w:lang w:val="en-US" w:eastAsia="zh-CN" w:bidi="ar-SA"/>
        </w:rPr>
        <w:t>履约验收其他事项：</w:t>
      </w:r>
    </w:p>
    <w:p w14:paraId="6CC40A89">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default" w:asciiTheme="minorEastAsia" w:hAnsiTheme="minorEastAsia" w:eastAsiaTheme="minorEastAsia" w:cstheme="minorEastAsia"/>
          <w:color w:val="auto"/>
          <w:kern w:val="0"/>
          <w:sz w:val="24"/>
          <w:szCs w:val="24"/>
          <w:highlight w:val="none"/>
          <w:lang w:val="en-US" w:eastAsia="zh-CN" w:bidi="ar-SA"/>
        </w:rPr>
        <w:t>其他未尽事宜</w:t>
      </w:r>
      <w:r>
        <w:rPr>
          <w:rFonts w:hint="eastAsia" w:asciiTheme="minorEastAsia" w:hAnsiTheme="minorEastAsia" w:eastAsiaTheme="minorEastAsia" w:cstheme="minorEastAsia"/>
          <w:color w:val="auto"/>
          <w:kern w:val="0"/>
          <w:sz w:val="24"/>
          <w:szCs w:val="24"/>
          <w:highlight w:val="none"/>
          <w:lang w:val="en-US" w:eastAsia="zh-CN" w:bidi="ar-SA"/>
        </w:rPr>
        <w:t>参照</w:t>
      </w:r>
      <w:r>
        <w:rPr>
          <w:rFonts w:hint="default" w:asciiTheme="minorEastAsia" w:hAnsiTheme="minorEastAsia" w:eastAsiaTheme="minorEastAsia" w:cstheme="minorEastAsia"/>
          <w:color w:val="auto"/>
          <w:kern w:val="0"/>
          <w:sz w:val="24"/>
          <w:szCs w:val="24"/>
          <w:highlight w:val="none"/>
          <w:lang w:val="en-US" w:eastAsia="zh-CN" w:bidi="ar-SA"/>
        </w:rPr>
        <w:t>《财政部关于进一步加强政府采购需求和履约验收管理的指导意见》(财库〔2016〕205号)、《政府采购需求管理办法》(财库〔2021〕22号)及采购文件相关规定组织验收。</w:t>
      </w:r>
    </w:p>
    <w:p w14:paraId="2EFC8C5E">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default" w:asciiTheme="minorEastAsia" w:hAnsiTheme="minorEastAsia" w:eastAsiaTheme="minorEastAsia" w:cstheme="minorEastAsia"/>
          <w:color w:val="auto"/>
          <w:kern w:val="0"/>
          <w:sz w:val="24"/>
          <w:szCs w:val="24"/>
          <w:highlight w:val="none"/>
          <w:lang w:val="en-US" w:eastAsia="zh-CN" w:bidi="ar-SA"/>
        </w:rPr>
      </w:pPr>
      <w:r>
        <w:rPr>
          <w:rFonts w:hint="default" w:asciiTheme="minorEastAsia" w:hAnsiTheme="minorEastAsia" w:eastAsiaTheme="minorEastAsia" w:cstheme="minorEastAsia"/>
          <w:color w:val="auto"/>
          <w:kern w:val="0"/>
          <w:sz w:val="24"/>
          <w:szCs w:val="24"/>
          <w:highlight w:val="none"/>
          <w:lang w:val="en-US" w:eastAsia="zh-CN" w:bidi="ar-SA"/>
        </w:rPr>
        <w:t>验收交付标准和方法</w:t>
      </w:r>
      <w:r>
        <w:rPr>
          <w:rFonts w:hint="eastAsia" w:asciiTheme="minorEastAsia" w:hAnsiTheme="minorEastAsia" w:eastAsiaTheme="minorEastAsia" w:cstheme="minorEastAsia"/>
          <w:color w:val="auto"/>
          <w:kern w:val="0"/>
          <w:sz w:val="24"/>
          <w:szCs w:val="24"/>
          <w:highlight w:val="none"/>
          <w:lang w:val="en-US" w:eastAsia="zh-CN" w:bidi="ar-SA"/>
        </w:rPr>
        <w:t>：</w:t>
      </w:r>
    </w:p>
    <w:p w14:paraId="442C3C8D">
      <w:pPr>
        <w:keepNext w:val="0"/>
        <w:keepLines w:val="0"/>
        <w:pageBreakBefore w:val="0"/>
        <w:widowControl w:val="0"/>
        <w:kinsoku/>
        <w:wordWrap/>
        <w:overflowPunct/>
        <w:topLinePunct w:val="0"/>
        <w:autoSpaceDE/>
        <w:autoSpaceDN/>
        <w:bidi w:val="0"/>
        <w:adjustRightInd w:val="0"/>
        <w:snapToGrid w:val="0"/>
        <w:spacing w:line="520" w:lineRule="exact"/>
        <w:ind w:firstLine="480" w:firstLineChars="200"/>
        <w:textAlignment w:val="auto"/>
        <w:rPr>
          <w:rFonts w:hint="eastAsia" w:asciiTheme="minorEastAsia" w:hAnsiTheme="minorEastAsia" w:eastAsiaTheme="minorEastAsia" w:cstheme="minorEastAsia"/>
          <w:color w:val="auto"/>
          <w:kern w:val="0"/>
          <w:sz w:val="24"/>
          <w:szCs w:val="24"/>
          <w:highlight w:val="none"/>
          <w:lang w:val="en-US" w:eastAsia="zh-CN" w:bidi="ar-SA"/>
        </w:rPr>
      </w:pPr>
      <w:r>
        <w:rPr>
          <w:rFonts w:hint="eastAsia" w:asciiTheme="minorEastAsia" w:hAnsiTheme="minorEastAsia" w:eastAsiaTheme="minorEastAsia" w:cstheme="minorEastAsia"/>
          <w:color w:val="auto"/>
          <w:kern w:val="0"/>
          <w:sz w:val="24"/>
          <w:szCs w:val="24"/>
          <w:highlight w:val="none"/>
          <w:lang w:val="en-US" w:eastAsia="zh-CN" w:bidi="ar-SA"/>
        </w:rPr>
        <w:t>采购人按照履约验收方案组织验收，验收合格达到交付标准。合同双方如对质量要求和技术指标的约定标准有相互抵触或异议的事项，按以下顺序解释：(1)合同协议及其变更、补充协议；(2)中标(成交)通知书；(3)评审现场做出的相关书面承诺和澄清；(4)投标文件；(5)采购文件。</w:t>
      </w:r>
    </w:p>
    <w:p w14:paraId="23FDE9D6">
      <w:pPr>
        <w:keepNext w:val="0"/>
        <w:keepLines w:val="0"/>
        <w:pageBreakBefore w:val="0"/>
        <w:widowControl w:val="0"/>
        <w:numPr>
          <w:ilvl w:val="0"/>
          <w:numId w:val="20"/>
        </w:numPr>
        <w:tabs>
          <w:tab w:val="left" w:pos="312"/>
          <w:tab w:val="clear" w:pos="0"/>
        </w:tabs>
        <w:kinsoku/>
        <w:wordWrap w:val="0"/>
        <w:overflowPunct/>
        <w:topLinePunct/>
        <w:autoSpaceDE/>
        <w:autoSpaceDN/>
        <w:bidi w:val="0"/>
        <w:adjustRightInd/>
        <w:snapToGrid/>
        <w:spacing w:line="520" w:lineRule="exact"/>
        <w:ind w:left="0" w:leftChars="0" w:firstLine="482" w:firstLineChars="200"/>
        <w:textAlignment w:val="auto"/>
        <w:outlineLvl w:val="1"/>
        <w:rPr>
          <w:rFonts w:hint="eastAsia" w:asciiTheme="minorEastAsia" w:hAnsiTheme="minorEastAsia" w:eastAsiaTheme="minorEastAsia" w:cstheme="minorEastAsia"/>
          <w:b/>
          <w:bCs/>
          <w:sz w:val="24"/>
          <w:szCs w:val="24"/>
          <w:lang w:val="en-US" w:eastAsia="zh-CN"/>
        </w:rPr>
      </w:pPr>
      <w:bookmarkStart w:id="491" w:name="_Toc17879"/>
      <w:r>
        <w:rPr>
          <w:rFonts w:hint="eastAsia" w:asciiTheme="minorEastAsia" w:hAnsiTheme="minorEastAsia" w:eastAsiaTheme="minorEastAsia" w:cstheme="minorEastAsia"/>
          <w:b/>
          <w:bCs/>
          <w:sz w:val="24"/>
          <w:szCs w:val="24"/>
          <w:lang w:val="en-US" w:eastAsia="zh-CN"/>
        </w:rPr>
        <w:t>成本补偿和风险分担约定</w:t>
      </w:r>
      <w:bookmarkEnd w:id="484"/>
      <w:bookmarkEnd w:id="485"/>
      <w:bookmarkEnd w:id="487"/>
      <w:bookmarkEnd w:id="488"/>
      <w:bookmarkEnd w:id="489"/>
      <w:bookmarkEnd w:id="491"/>
    </w:p>
    <w:p w14:paraId="0951D0FD">
      <w:pPr>
        <w:keepNext w:val="0"/>
        <w:keepLines w:val="0"/>
        <w:pageBreakBefore w:val="0"/>
        <w:widowControl w:val="0"/>
        <w:numPr>
          <w:ilvl w:val="0"/>
          <w:numId w:val="0"/>
        </w:numPr>
        <w:tabs>
          <w:tab w:val="left" w:pos="312"/>
          <w:tab w:val="clear" w:pos="0"/>
        </w:tabs>
        <w:kinsoku/>
        <w:wordWrap w:val="0"/>
        <w:overflowPunct/>
        <w:topLinePunct/>
        <w:autoSpaceDE/>
        <w:autoSpaceDN/>
        <w:bidi w:val="0"/>
        <w:adjustRightInd/>
        <w:snapToGrid/>
        <w:spacing w:line="520" w:lineRule="exact"/>
        <w:ind w:leftChars="0" w:firstLine="480" w:firstLineChars="200"/>
        <w:textAlignment w:val="auto"/>
        <w:outlineLvl w:val="9"/>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1.成本补偿：本项目无成本补偿；</w:t>
      </w:r>
    </w:p>
    <w:p w14:paraId="7D731EFB">
      <w:pPr>
        <w:keepNext w:val="0"/>
        <w:keepLines w:val="0"/>
        <w:pageBreakBefore w:val="0"/>
        <w:widowControl w:val="0"/>
        <w:numPr>
          <w:ilvl w:val="0"/>
          <w:numId w:val="0"/>
        </w:numPr>
        <w:tabs>
          <w:tab w:val="left" w:pos="312"/>
          <w:tab w:val="clear" w:pos="0"/>
        </w:tabs>
        <w:kinsoku/>
        <w:wordWrap w:val="0"/>
        <w:overflowPunct/>
        <w:topLinePunct/>
        <w:autoSpaceDE/>
        <w:autoSpaceDN/>
        <w:bidi w:val="0"/>
        <w:adjustRightInd/>
        <w:snapToGrid/>
        <w:spacing w:line="520" w:lineRule="exact"/>
        <w:ind w:leftChars="0" w:firstLine="480" w:firstLineChars="200"/>
        <w:textAlignment w:val="auto"/>
        <w:outlineLvl w:val="9"/>
        <w:rPr>
          <w:rFonts w:hint="eastAsia"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val="en-US" w:eastAsia="zh-CN"/>
        </w:rPr>
        <w:t>2.风险分担约定：该服务采购项目未验收合格并正式交付前，所有实施过程中的经济成本、安全风险成本等均由供应商自行承担。</w:t>
      </w:r>
    </w:p>
    <w:p w14:paraId="18D24AEA">
      <w:pPr>
        <w:keepNext w:val="0"/>
        <w:keepLines w:val="0"/>
        <w:pageBreakBefore w:val="0"/>
        <w:widowControl w:val="0"/>
        <w:numPr>
          <w:ilvl w:val="0"/>
          <w:numId w:val="20"/>
        </w:numPr>
        <w:tabs>
          <w:tab w:val="left" w:pos="312"/>
          <w:tab w:val="clear" w:pos="0"/>
        </w:tabs>
        <w:kinsoku/>
        <w:wordWrap w:val="0"/>
        <w:overflowPunct/>
        <w:topLinePunct/>
        <w:autoSpaceDE/>
        <w:autoSpaceDN/>
        <w:bidi w:val="0"/>
        <w:adjustRightInd/>
        <w:snapToGrid/>
        <w:spacing w:line="520" w:lineRule="exact"/>
        <w:ind w:left="0" w:leftChars="0" w:firstLine="482" w:firstLineChars="200"/>
        <w:textAlignment w:val="auto"/>
        <w:outlineLvl w:val="1"/>
        <w:rPr>
          <w:rFonts w:hint="eastAsia" w:asciiTheme="minorEastAsia" w:hAnsiTheme="minorEastAsia" w:eastAsiaTheme="minorEastAsia" w:cstheme="minorEastAsia"/>
          <w:b/>
          <w:bCs/>
          <w:sz w:val="24"/>
          <w:szCs w:val="24"/>
          <w:lang w:val="en-US" w:eastAsia="zh-CN"/>
        </w:rPr>
      </w:pPr>
      <w:bookmarkStart w:id="492" w:name="_Toc2486"/>
      <w:r>
        <w:rPr>
          <w:rFonts w:hint="eastAsia" w:asciiTheme="minorEastAsia" w:hAnsiTheme="minorEastAsia" w:eastAsiaTheme="minorEastAsia" w:cstheme="minorEastAsia"/>
          <w:b/>
          <w:bCs/>
          <w:sz w:val="24"/>
          <w:szCs w:val="24"/>
          <w:lang w:val="en-US" w:eastAsia="zh-CN"/>
        </w:rPr>
        <w:t>其他要求</w:t>
      </w:r>
      <w:bookmarkEnd w:id="492"/>
    </w:p>
    <w:bookmarkEnd w:id="465"/>
    <w:bookmarkEnd w:id="466"/>
    <w:bookmarkEnd w:id="467"/>
    <w:bookmarkEnd w:id="468"/>
    <w:bookmarkEnd w:id="469"/>
    <w:bookmarkEnd w:id="470"/>
    <w:p w14:paraId="6D401A56">
      <w:pPr>
        <w:pStyle w:val="34"/>
        <w:pageBreakBefore w:val="0"/>
        <w:kinsoku/>
        <w:overflowPunct/>
        <w:autoSpaceDE/>
        <w:autoSpaceDN/>
        <w:bidi w:val="0"/>
        <w:spacing w:line="520" w:lineRule="exact"/>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1.</w:t>
      </w:r>
      <w:r>
        <w:rPr>
          <w:rFonts w:hint="eastAsia" w:ascii="宋体" w:hAnsi="宋体" w:cs="宋体"/>
          <w:sz w:val="24"/>
          <w:szCs w:val="24"/>
        </w:rPr>
        <w:t>采购合同签订时间及要求：</w:t>
      </w:r>
      <w:r>
        <w:rPr>
          <w:rFonts w:hint="eastAsia" w:ascii="宋体" w:hAnsi="宋体" w:cs="宋体"/>
          <w:sz w:val="24"/>
          <w:szCs w:val="24"/>
          <w:lang w:eastAsia="zh-Hans"/>
        </w:rPr>
        <w:t>成交</w:t>
      </w:r>
      <w:r>
        <w:rPr>
          <w:rFonts w:hint="eastAsia" w:ascii="宋体" w:hAnsi="宋体" w:cs="宋体"/>
          <w:sz w:val="24"/>
          <w:szCs w:val="24"/>
        </w:rPr>
        <w:t>供应商自成交通知书发出之日起30日内与采购人签订采购合同，逾期未签订合同的，视为放弃。</w:t>
      </w:r>
    </w:p>
    <w:p w14:paraId="6D9A44CA">
      <w:pPr>
        <w:pStyle w:val="34"/>
        <w:pageBreakBefore w:val="0"/>
        <w:kinsoku/>
        <w:overflowPunct/>
        <w:autoSpaceDE/>
        <w:autoSpaceDN/>
        <w:bidi w:val="0"/>
        <w:spacing w:line="520" w:lineRule="exact"/>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2.</w:t>
      </w:r>
      <w:r>
        <w:rPr>
          <w:rFonts w:hint="eastAsia" w:ascii="宋体" w:hAnsi="宋体" w:cs="宋体"/>
          <w:sz w:val="24"/>
          <w:szCs w:val="24"/>
        </w:rPr>
        <w:t>供应商应严格执行《中华人民共和国民法典》《中华人民共和国劳动合同法》及项目所在地最低工资标准等相关法律、法规并依法与服务人员办理各种用工手续，如因用工不当，给采购人及服务人员造成的损失由供应商承担。</w:t>
      </w:r>
    </w:p>
    <w:p w14:paraId="63B49EF4">
      <w:pPr>
        <w:pStyle w:val="34"/>
        <w:pageBreakBefore w:val="0"/>
        <w:kinsoku/>
        <w:overflowPunct/>
        <w:autoSpaceDE/>
        <w:autoSpaceDN/>
        <w:bidi w:val="0"/>
        <w:spacing w:line="520" w:lineRule="exact"/>
        <w:ind w:firstLine="480" w:firstLineChars="200"/>
        <w:textAlignment w:val="auto"/>
        <w:rPr>
          <w:rFonts w:hint="eastAsia" w:ascii="宋体" w:hAnsi="宋体" w:cs="宋体"/>
          <w:sz w:val="24"/>
          <w:szCs w:val="24"/>
        </w:rPr>
      </w:pPr>
      <w:r>
        <w:rPr>
          <w:rFonts w:hint="eastAsia" w:ascii="宋体" w:hAnsi="宋体" w:cs="宋体"/>
          <w:sz w:val="24"/>
          <w:szCs w:val="24"/>
          <w:lang w:val="en-US" w:eastAsia="zh-CN"/>
        </w:rPr>
        <w:t>3.</w:t>
      </w:r>
      <w:r>
        <w:rPr>
          <w:rFonts w:hint="eastAsia" w:ascii="宋体" w:hAnsi="宋体" w:cs="宋体"/>
          <w:sz w:val="24"/>
          <w:szCs w:val="24"/>
        </w:rPr>
        <w:t>供应商服务从业人员在服务期间发生伤亡事故，或在服务过程中造成第三人伤亡的，责任由供应商承担。</w:t>
      </w:r>
    </w:p>
    <w:p w14:paraId="3BD2B298">
      <w:pPr>
        <w:pStyle w:val="34"/>
        <w:pageBreakBefore w:val="0"/>
        <w:kinsoku/>
        <w:overflowPunct/>
        <w:autoSpaceDE/>
        <w:autoSpaceDN/>
        <w:bidi w:val="0"/>
        <w:spacing w:line="520" w:lineRule="exact"/>
        <w:ind w:firstLine="480" w:firstLineChars="200"/>
        <w:textAlignment w:val="auto"/>
        <w:rPr>
          <w:rFonts w:hint="eastAsia" w:ascii="宋体" w:hAnsi="宋体" w:cs="宋体"/>
          <w:sz w:val="24"/>
          <w:szCs w:val="24"/>
        </w:rPr>
      </w:pPr>
      <w:r>
        <w:rPr>
          <w:rFonts w:hint="eastAsia" w:ascii="宋体" w:hAnsi="宋体" w:cs="宋体"/>
          <w:sz w:val="24"/>
          <w:szCs w:val="24"/>
        </w:rPr>
        <w:t>5.供应商在项目执行过程中定期及时向采购人通告本项目服务的重大事项及其进度。</w:t>
      </w:r>
    </w:p>
    <w:p w14:paraId="49F9913B">
      <w:pPr>
        <w:pStyle w:val="34"/>
        <w:pageBreakBefore w:val="0"/>
        <w:kinsoku/>
        <w:overflowPunct/>
        <w:autoSpaceDE/>
        <w:autoSpaceDN/>
        <w:bidi w:val="0"/>
        <w:spacing w:line="520" w:lineRule="exact"/>
        <w:ind w:firstLine="480" w:firstLineChars="200"/>
        <w:textAlignment w:val="auto"/>
        <w:rPr>
          <w:rFonts w:hint="eastAsia" w:ascii="宋体" w:hAnsi="宋体" w:cs="宋体"/>
          <w:sz w:val="24"/>
          <w:szCs w:val="24"/>
        </w:rPr>
      </w:pPr>
      <w:r>
        <w:rPr>
          <w:rFonts w:hint="eastAsia" w:ascii="宋体" w:hAnsi="宋体" w:cs="宋体"/>
          <w:sz w:val="24"/>
          <w:szCs w:val="24"/>
        </w:rPr>
        <w:t>6.接受项目行业管理部门及有关部门的指导，接受采购人的监督。</w:t>
      </w:r>
    </w:p>
    <w:p w14:paraId="7C95F7A4">
      <w:pPr>
        <w:pStyle w:val="34"/>
        <w:pageBreakBefore w:val="0"/>
        <w:kinsoku/>
        <w:overflowPunct/>
        <w:autoSpaceDE/>
        <w:autoSpaceDN/>
        <w:bidi w:val="0"/>
        <w:spacing w:line="520" w:lineRule="exact"/>
        <w:ind w:firstLine="480" w:firstLineChars="200"/>
        <w:textAlignment w:val="auto"/>
        <w:rPr>
          <w:rFonts w:hint="eastAsia" w:ascii="宋体" w:hAnsi="宋体" w:cs="宋体"/>
          <w:sz w:val="24"/>
          <w:szCs w:val="24"/>
        </w:rPr>
      </w:pPr>
      <w:r>
        <w:rPr>
          <w:rFonts w:hint="eastAsia" w:ascii="宋体" w:hAnsi="宋体" w:cs="宋体"/>
          <w:sz w:val="24"/>
          <w:szCs w:val="24"/>
        </w:rPr>
        <w:t>7.采购合同文本的主要条款、履约验收等要求详见竞争性磋商文件第八章。</w:t>
      </w:r>
    </w:p>
    <w:p w14:paraId="7DC1ACE7">
      <w:pPr>
        <w:pStyle w:val="34"/>
        <w:pageBreakBefore w:val="0"/>
        <w:kinsoku/>
        <w:overflowPunct/>
        <w:autoSpaceDE/>
        <w:autoSpaceDN/>
        <w:bidi w:val="0"/>
        <w:spacing w:line="520" w:lineRule="exact"/>
        <w:ind w:firstLine="480" w:firstLineChars="200"/>
        <w:textAlignment w:val="auto"/>
        <w:rPr>
          <w:rFonts w:hint="eastAsia"/>
          <w:lang w:val="en-US" w:eastAsia="zh-CN"/>
        </w:rPr>
      </w:pPr>
      <w:r>
        <w:rPr>
          <w:rFonts w:hint="eastAsia" w:ascii="宋体" w:hAnsi="宋体" w:cs="宋体"/>
          <w:sz w:val="24"/>
          <w:szCs w:val="24"/>
        </w:rPr>
        <w:t>8.本项目采购过程和合同履行过程中的风险严格按照采购人的风险控制管理要求执行。</w:t>
      </w:r>
    </w:p>
    <w:p w14:paraId="06790E77">
      <w:pPr>
        <w:pStyle w:val="53"/>
        <w:pageBreakBefore w:val="0"/>
        <w:kinsoku/>
        <w:overflowPunct/>
        <w:autoSpaceDE/>
        <w:autoSpaceDN/>
        <w:bidi w:val="0"/>
        <w:spacing w:line="520" w:lineRule="exact"/>
        <w:ind w:firstLine="482" w:firstLineChars="200"/>
        <w:textAlignment w:val="auto"/>
        <w:rPr>
          <w:rFonts w:hint="eastAsia" w:ascii="宋体" w:hAnsi="宋体" w:eastAsia="宋体"/>
          <w:lang w:val="en-US" w:eastAsia="zh-CN"/>
        </w:rPr>
      </w:pPr>
      <w:r>
        <w:rPr>
          <w:rFonts w:hint="eastAsia" w:ascii="宋体" w:hAnsi="宋体" w:eastAsia="宋体"/>
          <w:lang w:val="en-US" w:eastAsia="zh-CN"/>
        </w:rPr>
        <w:t>注意：</w:t>
      </w:r>
      <w:r>
        <w:rPr>
          <w:rFonts w:hint="eastAsia"/>
          <w:lang w:val="en-US" w:eastAsia="zh-CN"/>
        </w:rPr>
        <w:t>本章</w:t>
      </w:r>
      <w:r>
        <w:rPr>
          <w:rFonts w:hint="eastAsia"/>
          <w:color w:val="auto"/>
          <w:highlight w:val="none"/>
          <w:lang w:val="en-US" w:eastAsia="zh-CN"/>
        </w:rPr>
        <w:t>以供应商提供的“</w:t>
      </w:r>
      <w:r>
        <w:rPr>
          <w:rFonts w:hint="eastAsia"/>
          <w:lang w:val="en-US" w:eastAsia="zh-CN"/>
        </w:rPr>
        <w:t>实质性要求承诺</w:t>
      </w:r>
      <w:r>
        <w:rPr>
          <w:rFonts w:hint="eastAsia"/>
          <w:color w:val="auto"/>
          <w:highlight w:val="none"/>
          <w:lang w:val="en-US" w:eastAsia="zh-CN"/>
        </w:rPr>
        <w:t>”、“服务应答表”、“商务应答表”响应为准</w:t>
      </w:r>
      <w:r>
        <w:rPr>
          <w:rFonts w:hint="eastAsia" w:ascii="宋体" w:hAnsi="宋体" w:eastAsia="宋体"/>
          <w:lang w:val="en-US" w:eastAsia="zh-CN"/>
        </w:rPr>
        <w:t>。</w:t>
      </w:r>
    </w:p>
    <w:p w14:paraId="54552803">
      <w:pPr>
        <w:pStyle w:val="48"/>
        <w:pageBreakBefore w:val="0"/>
        <w:kinsoku/>
        <w:overflowPunct/>
        <w:autoSpaceDE/>
        <w:autoSpaceDN/>
        <w:bidi w:val="0"/>
        <w:spacing w:line="520" w:lineRule="exact"/>
        <w:textAlignment w:val="auto"/>
        <w:rPr>
          <w:rFonts w:hint="eastAsia"/>
        </w:rPr>
      </w:pPr>
      <w:r>
        <w:rPr>
          <w:rFonts w:hint="eastAsia"/>
        </w:rPr>
        <w:br w:type="page"/>
      </w:r>
    </w:p>
    <w:bookmarkEnd w:id="440"/>
    <w:bookmarkEnd w:id="441"/>
    <w:bookmarkEnd w:id="442"/>
    <w:p w14:paraId="036AAA04">
      <w:pPr>
        <w:pStyle w:val="54"/>
        <w:pageBreakBefore w:val="0"/>
        <w:kinsoku/>
        <w:overflowPunct/>
        <w:autoSpaceDE/>
        <w:autoSpaceDN/>
        <w:bidi w:val="0"/>
        <w:spacing w:line="520" w:lineRule="exact"/>
        <w:textAlignment w:val="auto"/>
        <w:rPr>
          <w:rFonts w:hint="eastAsia"/>
          <w:lang w:val="en-US" w:eastAsia="zh-CN"/>
        </w:rPr>
      </w:pPr>
      <w:bookmarkStart w:id="493" w:name="_Hlt101846155"/>
      <w:bookmarkEnd w:id="493"/>
      <w:bookmarkStart w:id="494" w:name="_Toc509579145"/>
      <w:bookmarkStart w:id="495" w:name="_Toc19779"/>
      <w:bookmarkStart w:id="496" w:name="_Toc12577"/>
      <w:bookmarkStart w:id="497" w:name="_Toc1793"/>
      <w:bookmarkStart w:id="498" w:name="_Toc41037907"/>
      <w:bookmarkStart w:id="499" w:name="_Toc8783"/>
      <w:bookmarkStart w:id="500" w:name="_Toc307564896"/>
      <w:bookmarkStart w:id="501" w:name="_Toc308084645"/>
      <w:bookmarkStart w:id="502" w:name="_Toc25959"/>
      <w:bookmarkStart w:id="503" w:name="_Toc309897563"/>
      <w:bookmarkStart w:id="504" w:name="_Toc208849007"/>
      <w:bookmarkStart w:id="505" w:name="_Toc2232"/>
      <w:bookmarkStart w:id="506" w:name="_Toc308188198"/>
      <w:bookmarkStart w:id="507" w:name="_Toc26923"/>
      <w:bookmarkStart w:id="508" w:name="_Toc3881"/>
      <w:bookmarkStart w:id="509" w:name="_Toc183682415"/>
      <w:bookmarkStart w:id="510" w:name="_Toc1543"/>
      <w:bookmarkStart w:id="511" w:name="_Toc327196339"/>
      <w:bookmarkStart w:id="512" w:name="_Toc4553"/>
      <w:bookmarkStart w:id="513" w:name="_Toc21302"/>
      <w:bookmarkStart w:id="514" w:name="_Toc11039"/>
      <w:bookmarkStart w:id="515" w:name="_Toc319439946"/>
      <w:bookmarkStart w:id="516" w:name="_Toc217446097"/>
      <w:bookmarkStart w:id="517" w:name="_Toc183582280"/>
      <w:bookmarkStart w:id="518" w:name="_Toc25435"/>
      <w:bookmarkStart w:id="519" w:name="_Toc483"/>
      <w:bookmarkStart w:id="520" w:name="_Toc307501154"/>
      <w:bookmarkStart w:id="521" w:name="_Toc319440188"/>
      <w:r>
        <w:rPr>
          <w:rFonts w:hint="eastAsia"/>
          <w:lang w:val="en-US" w:eastAsia="zh-CN"/>
        </w:rPr>
        <w:t>磋商内容、磋商过程中可实质性变动的内容</w:t>
      </w:r>
      <w:bookmarkEnd w:id="494"/>
      <w:bookmarkEnd w:id="495"/>
      <w:bookmarkEnd w:id="496"/>
      <w:bookmarkEnd w:id="497"/>
      <w:bookmarkEnd w:id="498"/>
      <w:bookmarkEnd w:id="499"/>
    </w:p>
    <w:p w14:paraId="151A97AB">
      <w:pPr>
        <w:pStyle w:val="51"/>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highlight w:val="none"/>
        </w:rPr>
        <w:t>针对</w:t>
      </w:r>
      <w:r>
        <w:rPr>
          <w:rFonts w:hint="eastAsia"/>
          <w:highlight w:val="none"/>
          <w:lang w:val="en-US" w:eastAsia="zh-CN"/>
        </w:rPr>
        <w:t>本项</w:t>
      </w:r>
      <w:r>
        <w:rPr>
          <w:rFonts w:hint="eastAsia"/>
          <w:highlight w:val="none"/>
          <w:u w:val="none"/>
          <w:lang w:val="en-US" w:eastAsia="zh-CN"/>
        </w:rPr>
        <w:t>目采购文件</w:t>
      </w:r>
      <w:r>
        <w:rPr>
          <w:rFonts w:hint="eastAsia"/>
          <w:highlight w:val="none"/>
          <w:u w:val="none"/>
        </w:rPr>
        <w:t>第</w:t>
      </w:r>
      <w:r>
        <w:rPr>
          <w:rFonts w:hint="eastAsia"/>
          <w:highlight w:val="none"/>
          <w:u w:val="none"/>
          <w:lang w:val="en-US" w:eastAsia="zh-CN"/>
        </w:rPr>
        <w:t>五</w:t>
      </w:r>
      <w:r>
        <w:rPr>
          <w:rFonts w:hint="eastAsia"/>
          <w:highlight w:val="none"/>
          <w:u w:val="none"/>
        </w:rPr>
        <w:t>章、第</w:t>
      </w:r>
      <w:r>
        <w:rPr>
          <w:rFonts w:hint="eastAsia"/>
          <w:highlight w:val="none"/>
          <w:u w:val="none"/>
          <w:lang w:val="en-US" w:eastAsia="zh-CN"/>
        </w:rPr>
        <w:t>八</w:t>
      </w:r>
      <w:r>
        <w:rPr>
          <w:rFonts w:hint="eastAsia"/>
          <w:highlight w:val="none"/>
          <w:u w:val="none"/>
        </w:rPr>
        <w:t>章所包</w:t>
      </w:r>
      <w:r>
        <w:rPr>
          <w:rFonts w:hint="eastAsia"/>
          <w:highlight w:val="none"/>
        </w:rPr>
        <w:t>含的技术、服务要求以及合同草案条款，在磋商</w:t>
      </w:r>
      <w:r>
        <w:rPr>
          <w:rFonts w:hint="eastAsia"/>
        </w:rPr>
        <w:t>过程中，磋商小组在获得采购人代表确认的前提下，可以根据磋商情况实质性变动相关内容。磋商小组对磋商文件作出的实质性变动是磋商文件的有效组成部分，磋商小组会及时以书面形式通知所有参加磋商的供应商。</w:t>
      </w:r>
    </w:p>
    <w:p w14:paraId="17C86F75">
      <w:pPr>
        <w:keepNext w:val="0"/>
        <w:keepLines w:val="0"/>
        <w:pageBreakBefore w:val="0"/>
        <w:widowControl w:val="0"/>
        <w:kinsoku/>
        <w:overflowPunct/>
        <w:autoSpaceDE/>
        <w:autoSpaceDN/>
        <w:bidi w:val="0"/>
        <w:adjustRightInd w:val="0"/>
        <w:snapToGrid w:val="0"/>
        <w:spacing w:line="520" w:lineRule="exact"/>
        <w:textAlignment w:val="auto"/>
        <w:rPr>
          <w:rFonts w:hint="eastAsia"/>
        </w:rPr>
      </w:pPr>
      <w:r>
        <w:rPr>
          <w:rFonts w:hint="eastAsia"/>
          <w:lang w:val="en-US" w:eastAsia="zh-CN"/>
        </w:rPr>
        <w:br w:type="page"/>
      </w:r>
    </w:p>
    <w:p w14:paraId="63CD9E0C">
      <w:pPr>
        <w:pStyle w:val="54"/>
        <w:pageBreakBefore w:val="0"/>
        <w:numPr>
          <w:ilvl w:val="0"/>
          <w:numId w:val="18"/>
        </w:numPr>
        <w:kinsoku/>
        <w:overflowPunct/>
        <w:autoSpaceDE/>
        <w:autoSpaceDN/>
        <w:bidi w:val="0"/>
        <w:spacing w:line="520" w:lineRule="exact"/>
        <w:textAlignment w:val="auto"/>
        <w:rPr>
          <w:rFonts w:hint="eastAsia"/>
        </w:rPr>
      </w:pPr>
      <w:bookmarkStart w:id="522" w:name="_Toc12716"/>
      <w:bookmarkStart w:id="523" w:name="_Toc15948"/>
      <w:bookmarkStart w:id="524" w:name="_Toc859"/>
      <w:r>
        <w:rPr>
          <w:rFonts w:hint="eastAsia"/>
          <w:lang w:val="en-US" w:eastAsia="zh-CN"/>
        </w:rPr>
        <w:t>磋商程序</w:t>
      </w:r>
      <w:bookmarkEnd w:id="522"/>
      <w:bookmarkEnd w:id="523"/>
      <w:bookmarkEnd w:id="524"/>
    </w:p>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p w14:paraId="0C650CE4">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bookmarkStart w:id="525" w:name="_Toc28956"/>
      <w:r>
        <w:rPr>
          <w:rFonts w:hint="eastAsia"/>
          <w:lang w:val="en-US" w:eastAsia="zh-CN"/>
        </w:rPr>
        <w:t>参照</w:t>
      </w:r>
      <w:r>
        <w:rPr>
          <w:rFonts w:hint="eastAsia"/>
        </w:rPr>
        <w:t>《中华人民共和国政府采购法》《中华人民共和国政府采购法实施条例》</w:t>
      </w:r>
      <w:r>
        <w:rPr>
          <w:rFonts w:hint="eastAsia"/>
          <w:lang w:val="en-US" w:eastAsia="zh-CN"/>
        </w:rPr>
        <w:t>及</w:t>
      </w:r>
      <w:r>
        <w:rPr>
          <w:rFonts w:hint="eastAsia"/>
        </w:rPr>
        <w:t>《政府采购竞争性磋商采购方式管理暂行办法》等</w:t>
      </w:r>
      <w:r>
        <w:rPr>
          <w:rFonts w:hint="eastAsia"/>
          <w:lang w:val="en-US" w:eastAsia="zh-CN"/>
        </w:rPr>
        <w:t>法律法规</w:t>
      </w:r>
      <w:r>
        <w:rPr>
          <w:rFonts w:hint="eastAsia"/>
        </w:rPr>
        <w:t>并结合本次采购项目的特点制定本</w:t>
      </w:r>
      <w:r>
        <w:rPr>
          <w:rFonts w:hint="eastAsia"/>
          <w:lang w:val="en-US" w:eastAsia="zh-CN"/>
        </w:rPr>
        <w:t>评审程序、评审方法、评审标准。</w:t>
      </w:r>
    </w:p>
    <w:p w14:paraId="6F9161EB">
      <w:pPr>
        <w:pStyle w:val="4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bookmarkStart w:id="526" w:name="_Toc1467"/>
      <w:bookmarkStart w:id="527" w:name="_Toc7941"/>
      <w:bookmarkStart w:id="528" w:name="_Toc24832"/>
      <w:bookmarkStart w:id="529" w:name="_Toc1227"/>
      <w:r>
        <w:rPr>
          <w:rFonts w:hint="eastAsia"/>
        </w:rPr>
        <w:t>磋商小组及专家组成</w:t>
      </w:r>
      <w:bookmarkEnd w:id="526"/>
      <w:bookmarkEnd w:id="527"/>
      <w:bookmarkEnd w:id="528"/>
      <w:bookmarkEnd w:id="529"/>
    </w:p>
    <w:p w14:paraId="5A4165CD">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参照</w:t>
      </w:r>
      <w:r>
        <w:rPr>
          <w:rFonts w:hint="eastAsia"/>
        </w:rPr>
        <w:t>《政府采购竞争性磋商采购方式管理暂行办法》等规定</w:t>
      </w:r>
      <w:r>
        <w:rPr>
          <w:rFonts w:hint="eastAsia"/>
          <w:lang w:eastAsia="zh-CN"/>
        </w:rPr>
        <w:t>，</w:t>
      </w:r>
      <w:r>
        <w:rPr>
          <w:rFonts w:hint="eastAsia"/>
        </w:rPr>
        <w:t>结合本次采购项目的实际情况</w:t>
      </w:r>
      <w:r>
        <w:rPr>
          <w:rFonts w:hint="eastAsia"/>
          <w:lang w:val="en-US" w:eastAsia="zh-CN"/>
        </w:rPr>
        <w:t>依法组建磋商小组</w:t>
      </w:r>
      <w:r>
        <w:rPr>
          <w:rFonts w:hint="eastAsia"/>
        </w:rPr>
        <w:t>，负责本次采购项目的竞争性磋商和评审工作</w:t>
      </w:r>
      <w:r>
        <w:rPr>
          <w:rFonts w:hint="eastAsia"/>
          <w:lang w:eastAsia="zh-CN"/>
        </w:rPr>
        <w:t>。</w:t>
      </w:r>
      <w:r>
        <w:rPr>
          <w:rFonts w:hint="eastAsia"/>
          <w:lang w:val="en-US" w:eastAsia="zh-CN"/>
        </w:rPr>
        <w:t>磋商小组</w:t>
      </w:r>
      <w:r>
        <w:rPr>
          <w:rFonts w:hint="eastAsia"/>
          <w:lang w:eastAsia="zh-CN"/>
        </w:rPr>
        <w:t>由采购人代表和评审专家共3人以上单数组成，达到公开招标数额标准的服务采购项目，评审委员会应当由5人以上单数组成，其中评审专家人数不得少于成员总数的2/3。采购人代表不得以评审专家的身份参加本部门或本单位采购项目的评审。采购代理机构人员不得参加本机构代理的采购项目的评审。</w:t>
      </w:r>
    </w:p>
    <w:p w14:paraId="2C0D2057">
      <w:pPr>
        <w:pStyle w:val="4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bookmarkStart w:id="530" w:name="_Toc6662"/>
      <w:bookmarkStart w:id="531" w:name="_Toc25456"/>
      <w:bookmarkStart w:id="532" w:name="_Toc617"/>
      <w:bookmarkStart w:id="533" w:name="_Toc15700"/>
      <w:bookmarkStart w:id="534" w:name="_Toc2442"/>
      <w:bookmarkStart w:id="535" w:name="_Toc10809"/>
      <w:bookmarkStart w:id="536" w:name="_Toc15935"/>
      <w:r>
        <w:rPr>
          <w:rFonts w:hint="eastAsia"/>
        </w:rPr>
        <w:t>磋商组织</w:t>
      </w:r>
      <w:bookmarkEnd w:id="530"/>
      <w:bookmarkEnd w:id="531"/>
      <w:bookmarkEnd w:id="532"/>
      <w:bookmarkEnd w:id="533"/>
      <w:bookmarkEnd w:id="534"/>
      <w:bookmarkEnd w:id="535"/>
      <w:bookmarkEnd w:id="536"/>
    </w:p>
    <w:p w14:paraId="59408331">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zh-CN"/>
        </w:rPr>
      </w:pPr>
      <w:r>
        <w:rPr>
          <w:rFonts w:hint="eastAsia"/>
          <w:lang w:val="en-US" w:eastAsia="zh-CN"/>
        </w:rPr>
        <w:t>(一)</w:t>
      </w:r>
      <w:r>
        <w:rPr>
          <w:rFonts w:hint="eastAsia"/>
          <w:lang w:val="zh-CN"/>
        </w:rPr>
        <w:t>磋商工作由采购代理机构组织，具体磋商事务由依法组建的磋商小组负责。</w:t>
      </w:r>
    </w:p>
    <w:p w14:paraId="0854D15D">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(二)</w:t>
      </w:r>
      <w:r>
        <w:rPr>
          <w:rFonts w:hint="eastAsia"/>
        </w:rPr>
        <w:t>磋商小组成员应当按照客观、公正、审慎的原则，根据磋商文件规定的评审程序、评审方法和评审标准进行独立评审。未实质性响应磋商文件的响应文件按无效响应处理，磋商小组应当告知提交响应文件的供应商。</w:t>
      </w:r>
    </w:p>
    <w:p w14:paraId="4606B0BE">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(三)</w:t>
      </w:r>
      <w:r>
        <w:rPr>
          <w:rFonts w:hint="eastAsia"/>
        </w:rPr>
        <w:t>磋商文件内容违反国家有关强制性规定的，磋商小组应当停止评审并向采购人或者采购代理机构说明情况</w:t>
      </w:r>
      <w:r>
        <w:rPr>
          <w:rFonts w:hint="eastAsia"/>
          <w:lang w:eastAsia="zh-CN"/>
        </w:rPr>
        <w:t>(</w:t>
      </w:r>
      <w:r>
        <w:rPr>
          <w:rFonts w:hint="eastAsia"/>
          <w:lang w:val="en-US" w:eastAsia="zh-CN"/>
        </w:rPr>
        <w:t>注明法律法规依据)</w:t>
      </w:r>
      <w:r>
        <w:rPr>
          <w:rFonts w:hint="eastAsia"/>
        </w:rPr>
        <w:t>。</w:t>
      </w:r>
    </w:p>
    <w:p w14:paraId="6C57A2A9">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(四)磋商</w:t>
      </w:r>
      <w:r>
        <w:rPr>
          <w:rFonts w:hint="eastAsia"/>
          <w:lang w:eastAsia="zh-CN"/>
        </w:rPr>
        <w:t>小组</w:t>
      </w:r>
      <w:r>
        <w:rPr>
          <w:rFonts w:hint="eastAsia"/>
        </w:rPr>
        <w:t>按照</w:t>
      </w:r>
      <w:r>
        <w:rPr>
          <w:rFonts w:hint="eastAsia"/>
          <w:lang w:val="en-US" w:eastAsia="zh-CN"/>
        </w:rPr>
        <w:t>磋商</w:t>
      </w:r>
      <w:r>
        <w:rPr>
          <w:rFonts w:hint="eastAsia"/>
          <w:lang w:eastAsia="zh-CN"/>
        </w:rPr>
        <w:t>文件</w:t>
      </w:r>
      <w:r>
        <w:rPr>
          <w:rFonts w:hint="eastAsia"/>
        </w:rPr>
        <w:t>规定的</w:t>
      </w:r>
      <w:r>
        <w:rPr>
          <w:rFonts w:hint="eastAsia"/>
          <w:lang w:val="en-US" w:eastAsia="zh-CN"/>
        </w:rPr>
        <w:t>评审</w:t>
      </w:r>
      <w:r>
        <w:rPr>
          <w:rFonts w:hint="eastAsia"/>
        </w:rPr>
        <w:t>程序、</w:t>
      </w:r>
      <w:r>
        <w:rPr>
          <w:rFonts w:hint="eastAsia"/>
          <w:lang w:val="en-US" w:eastAsia="zh-CN"/>
        </w:rPr>
        <w:t>评审</w:t>
      </w:r>
      <w:r>
        <w:rPr>
          <w:rFonts w:hint="eastAsia"/>
        </w:rPr>
        <w:t>方法和</w:t>
      </w:r>
      <w:r>
        <w:rPr>
          <w:rFonts w:hint="eastAsia"/>
          <w:lang w:val="en-US" w:eastAsia="zh-CN"/>
        </w:rPr>
        <w:t>评审</w:t>
      </w:r>
      <w:r>
        <w:rPr>
          <w:rFonts w:hint="eastAsia"/>
        </w:rPr>
        <w:t>标准进行</w:t>
      </w:r>
      <w:r>
        <w:rPr>
          <w:rFonts w:hint="eastAsia"/>
          <w:lang w:val="en-US" w:eastAsia="zh-CN"/>
        </w:rPr>
        <w:t>独立</w:t>
      </w:r>
      <w:r>
        <w:rPr>
          <w:rFonts w:hint="eastAsia"/>
        </w:rPr>
        <w:t>评审，并履行下列职责：</w:t>
      </w:r>
    </w:p>
    <w:p w14:paraId="0746C17C">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1.</w:t>
      </w:r>
      <w:r>
        <w:rPr>
          <w:rFonts w:hint="eastAsia"/>
        </w:rPr>
        <w:t>熟悉和理解</w:t>
      </w:r>
      <w:r>
        <w:rPr>
          <w:rFonts w:hint="eastAsia"/>
          <w:lang w:val="en-US" w:eastAsia="zh-CN"/>
        </w:rPr>
        <w:t>磋商</w:t>
      </w:r>
      <w:r>
        <w:rPr>
          <w:rFonts w:hint="eastAsia"/>
          <w:lang w:eastAsia="zh-CN"/>
        </w:rPr>
        <w:t>文件</w:t>
      </w:r>
      <w:r>
        <w:rPr>
          <w:rFonts w:hint="eastAsia"/>
        </w:rPr>
        <w:t>，确定</w:t>
      </w:r>
      <w:r>
        <w:rPr>
          <w:rFonts w:hint="eastAsia"/>
          <w:lang w:val="en-US" w:eastAsia="zh-CN"/>
        </w:rPr>
        <w:t>磋商</w:t>
      </w:r>
      <w:r>
        <w:rPr>
          <w:rFonts w:hint="eastAsia"/>
          <w:lang w:eastAsia="zh-CN"/>
        </w:rPr>
        <w:t>文件</w:t>
      </w:r>
      <w:r>
        <w:rPr>
          <w:rFonts w:hint="eastAsia"/>
        </w:rPr>
        <w:t>内容是否违反国家有关强制性规定或者</w:t>
      </w:r>
      <w:r>
        <w:rPr>
          <w:rFonts w:hint="eastAsia"/>
          <w:lang w:val="en-US" w:eastAsia="zh-CN"/>
        </w:rPr>
        <w:t>磋商</w:t>
      </w:r>
      <w:r>
        <w:rPr>
          <w:rFonts w:hint="eastAsia"/>
          <w:lang w:eastAsia="zh-CN"/>
        </w:rPr>
        <w:t>文件</w:t>
      </w:r>
      <w:r>
        <w:rPr>
          <w:rFonts w:hint="eastAsia"/>
        </w:rPr>
        <w:t>存在歧义、重大缺陷，根据需要书面要求采购人、采购代理机构对</w:t>
      </w:r>
      <w:r>
        <w:rPr>
          <w:rFonts w:hint="eastAsia"/>
          <w:lang w:val="en-US" w:eastAsia="zh-CN"/>
        </w:rPr>
        <w:t>磋商</w:t>
      </w:r>
      <w:r>
        <w:rPr>
          <w:rFonts w:hint="eastAsia"/>
          <w:lang w:eastAsia="zh-CN"/>
        </w:rPr>
        <w:t>文件</w:t>
      </w:r>
      <w:r>
        <w:rPr>
          <w:rFonts w:hint="eastAsia"/>
        </w:rPr>
        <w:t>作出解释</w:t>
      </w:r>
      <w:r>
        <w:rPr>
          <w:rFonts w:hint="eastAsia"/>
          <w:lang w:eastAsia="zh-CN"/>
        </w:rPr>
        <w:t>。</w:t>
      </w:r>
      <w:r>
        <w:rPr>
          <w:rFonts w:hint="eastAsia"/>
          <w:lang w:val="en-US" w:eastAsia="zh-CN"/>
        </w:rPr>
        <w:t>采购代理机构</w:t>
      </w:r>
      <w:r>
        <w:rPr>
          <w:rFonts w:hint="eastAsia"/>
        </w:rPr>
        <w:t>的解释不得改变</w:t>
      </w:r>
      <w:r>
        <w:rPr>
          <w:rFonts w:hint="eastAsia"/>
          <w:lang w:val="en-US" w:eastAsia="zh-CN"/>
        </w:rPr>
        <w:t>磋商</w:t>
      </w:r>
      <w:r>
        <w:rPr>
          <w:rFonts w:hint="eastAsia"/>
        </w:rPr>
        <w:t>文件的原义或者影响公平、公正，解释事项如果涉及</w:t>
      </w:r>
      <w:r>
        <w:rPr>
          <w:rFonts w:hint="eastAsia"/>
          <w:lang w:val="en-US" w:eastAsia="zh-CN"/>
        </w:rPr>
        <w:t>供应商</w:t>
      </w:r>
      <w:r>
        <w:rPr>
          <w:rFonts w:hint="eastAsia"/>
        </w:rPr>
        <w:t>权益的以有利于</w:t>
      </w:r>
      <w:r>
        <w:rPr>
          <w:rFonts w:hint="eastAsia"/>
          <w:lang w:val="en-US" w:eastAsia="zh-CN"/>
        </w:rPr>
        <w:t>供应商</w:t>
      </w:r>
      <w:r>
        <w:rPr>
          <w:rFonts w:hint="eastAsia"/>
        </w:rPr>
        <w:t>的原则进行解释。</w:t>
      </w:r>
    </w:p>
    <w:p w14:paraId="14035666">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2.</w:t>
      </w:r>
      <w:r>
        <w:rPr>
          <w:rFonts w:hint="eastAsia"/>
        </w:rPr>
        <w:t>审查供应商响应文件是否满足</w:t>
      </w:r>
      <w:r>
        <w:rPr>
          <w:rFonts w:hint="eastAsia"/>
          <w:lang w:val="en-US" w:eastAsia="zh-CN"/>
        </w:rPr>
        <w:t>磋商</w:t>
      </w:r>
      <w:r>
        <w:rPr>
          <w:rFonts w:hint="eastAsia"/>
          <w:lang w:eastAsia="zh-CN"/>
        </w:rPr>
        <w:t>文件</w:t>
      </w:r>
      <w:r>
        <w:rPr>
          <w:rFonts w:hint="eastAsia"/>
        </w:rPr>
        <w:t>要求，并作出公正评价；</w:t>
      </w:r>
    </w:p>
    <w:p w14:paraId="5E8F7C54">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3.</w:t>
      </w:r>
      <w:r>
        <w:rPr>
          <w:rFonts w:hint="eastAsia"/>
        </w:rPr>
        <w:t>根据需要</w:t>
      </w:r>
      <w:r>
        <w:rPr>
          <w:rFonts w:hint="eastAsia"/>
          <w:lang w:val="en-US" w:eastAsia="zh-CN"/>
        </w:rPr>
        <w:t>书面</w:t>
      </w:r>
      <w:r>
        <w:rPr>
          <w:rFonts w:hint="eastAsia"/>
        </w:rPr>
        <w:t>要求供应商对响应文件中含义不明确、同类问题表述不一致或者有明显文字和计算错误的内容等作出必要的澄清、说明或者更正</w:t>
      </w:r>
      <w:r>
        <w:rPr>
          <w:rFonts w:hint="eastAsia"/>
          <w:lang w:eastAsia="zh-CN"/>
        </w:rPr>
        <w:t>，</w:t>
      </w:r>
      <w:r>
        <w:rPr>
          <w:rFonts w:hint="eastAsia"/>
        </w:rPr>
        <w:t>并给予供应商必要的反馈时间；</w:t>
      </w:r>
    </w:p>
    <w:p w14:paraId="377E5194">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4.</w:t>
      </w:r>
      <w:r>
        <w:rPr>
          <w:rFonts w:hint="eastAsia"/>
        </w:rPr>
        <w:t>推荐成交供应商，或者受采购人委托确定成交供应商；</w:t>
      </w:r>
    </w:p>
    <w:p w14:paraId="7F64E914">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5.</w:t>
      </w:r>
      <w:r>
        <w:rPr>
          <w:rFonts w:hint="eastAsia"/>
        </w:rPr>
        <w:t>起草评审报告并进行签署；</w:t>
      </w:r>
    </w:p>
    <w:p w14:paraId="76CEA5ED">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6.</w:t>
      </w:r>
      <w:r>
        <w:rPr>
          <w:rFonts w:hint="eastAsia"/>
        </w:rPr>
        <w:t>向采购人、采购代理机构或者其他监督部门报告非法干预评审工作的行为；</w:t>
      </w:r>
    </w:p>
    <w:p w14:paraId="3BC768BF">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7.</w:t>
      </w:r>
      <w:r>
        <w:rPr>
          <w:rFonts w:hint="eastAsia"/>
        </w:rPr>
        <w:t>法律、法规和规章规定的其他职责。</w:t>
      </w:r>
    </w:p>
    <w:p w14:paraId="38BC550C">
      <w:pPr>
        <w:pStyle w:val="4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bookmarkStart w:id="537" w:name="_Toc25873"/>
      <w:bookmarkStart w:id="538" w:name="_Toc2902"/>
      <w:bookmarkStart w:id="539" w:name="_Toc25570"/>
      <w:bookmarkStart w:id="540" w:name="_Toc30112"/>
      <w:bookmarkStart w:id="541" w:name="_Toc17376"/>
      <w:bookmarkStart w:id="542" w:name="_Toc19418"/>
      <w:bookmarkStart w:id="543" w:name="_Toc10940"/>
      <w:r>
        <w:rPr>
          <w:rFonts w:hint="eastAsia"/>
          <w:lang w:val="en-US" w:eastAsia="zh-CN"/>
        </w:rPr>
        <w:t>评审</w:t>
      </w:r>
      <w:r>
        <w:rPr>
          <w:rFonts w:hint="eastAsia"/>
        </w:rPr>
        <w:t>程序</w:t>
      </w:r>
      <w:bookmarkEnd w:id="537"/>
      <w:bookmarkEnd w:id="538"/>
      <w:bookmarkEnd w:id="539"/>
      <w:bookmarkEnd w:id="540"/>
      <w:bookmarkEnd w:id="541"/>
      <w:bookmarkEnd w:id="542"/>
      <w:bookmarkEnd w:id="543"/>
    </w:p>
    <w:p w14:paraId="439348B9">
      <w:pPr>
        <w:pStyle w:val="5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bookmarkStart w:id="544" w:name="_Toc16914"/>
      <w:bookmarkStart w:id="545" w:name="_Toc2499"/>
      <w:bookmarkStart w:id="546" w:name="_Toc3958"/>
      <w:bookmarkStart w:id="547" w:name="_Toc1947"/>
      <w:r>
        <w:rPr>
          <w:rFonts w:hint="eastAsia"/>
          <w:lang w:val="en-US" w:eastAsia="zh-CN"/>
        </w:rPr>
        <w:t>供应商资格审查</w:t>
      </w:r>
      <w:bookmarkEnd w:id="544"/>
      <w:bookmarkEnd w:id="545"/>
      <w:bookmarkEnd w:id="546"/>
      <w:bookmarkEnd w:id="547"/>
    </w:p>
    <w:p w14:paraId="4427A98E">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zh-CN"/>
        </w:rPr>
      </w:pPr>
      <w:r>
        <w:rPr>
          <w:rFonts w:hint="eastAsia"/>
          <w:lang w:val="zh-CN"/>
        </w:rPr>
        <w:t>在</w:t>
      </w:r>
      <w:r>
        <w:rPr>
          <w:rFonts w:hint="eastAsia"/>
          <w:lang w:val="en-US" w:eastAsia="zh-CN"/>
        </w:rPr>
        <w:t>开启时间</w:t>
      </w:r>
      <w:r>
        <w:rPr>
          <w:rFonts w:hint="eastAsia"/>
          <w:lang w:val="zh-CN"/>
        </w:rPr>
        <w:t>后，采购代理机构组织磋商小组对递交响应文件的供应商进行资格审查，确定参加磋商的供应商名单。</w:t>
      </w:r>
    </w:p>
    <w:p w14:paraId="7B63931B">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zh-CN"/>
        </w:rPr>
      </w:pPr>
      <w:r>
        <w:rPr>
          <w:rFonts w:hint="eastAsia"/>
          <w:lang w:val="zh-CN"/>
        </w:rPr>
        <w:t>确定参加磋商的供应商数量采用合格制，即磋商小组对各供应商资格审查后，凡符合本竞争性磋商文件规定资格条件的，均进入参加磋商的供应商名单。</w:t>
      </w:r>
    </w:p>
    <w:p w14:paraId="28E3076E">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zh-CN"/>
        </w:rPr>
      </w:pPr>
      <w:r>
        <w:rPr>
          <w:rFonts w:hint="eastAsia"/>
          <w:lang w:val="zh-CN"/>
        </w:rPr>
        <w:t>评审委员会资格审查结束后，应当向采购人、采购代理机构出具资格审查报告，确定参加磋商的供应商名单，并说明未通过资格审查的供应商未通过的原因。</w:t>
      </w:r>
    </w:p>
    <w:p w14:paraId="4E9FADEC">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zh-CN"/>
        </w:rPr>
      </w:pPr>
      <w:r>
        <w:rPr>
          <w:rFonts w:hint="eastAsia"/>
          <w:lang w:val="zh-CN"/>
        </w:rPr>
        <w:t>资格审查报告应当由全体评审委员会成员签字确认。评审委员会成员对资格审查过程和结果有不同意见的，应当在资格审查报告中写明并说明理由。签字但不写明不同意见或者不说明理由的，视同无意见。拒不签字又不另行书面说明其不同意见和理由的，视同同意资格审查结果。</w:t>
      </w:r>
    </w:p>
    <w:p w14:paraId="5B245A63">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zh-CN"/>
        </w:rPr>
      </w:pPr>
      <w:r>
        <w:rPr>
          <w:rFonts w:hint="eastAsia"/>
          <w:lang w:val="zh-CN"/>
        </w:rPr>
        <w:t>评审委员会出具资格审查报告后，采购人、采购代理机构应当将通过资格审查和未通过资格审查的供应商名单向所有递交响应文件的供应商当场宣布，并告知未通过资格审查的供应商未通过资格审查的原因，但涉及商业秘密的除外。</w:t>
      </w:r>
      <w:r>
        <w:rPr>
          <w:rFonts w:hint="eastAsia"/>
          <w:lang w:val="en-US" w:eastAsia="zh-CN"/>
        </w:rPr>
        <w:t>同时在</w:t>
      </w:r>
      <w:r>
        <w:rPr>
          <w:rFonts w:hint="eastAsia"/>
        </w:rPr>
        <w:t>磋商结果公示中向社会</w:t>
      </w:r>
      <w:r>
        <w:rPr>
          <w:rFonts w:hint="eastAsia"/>
          <w:lang w:val="en-US" w:eastAsia="zh-CN"/>
        </w:rPr>
        <w:t>公开</w:t>
      </w:r>
      <w:r>
        <w:rPr>
          <w:rFonts w:hint="eastAsia"/>
          <w:lang w:eastAsia="zh-CN"/>
        </w:rPr>
        <w:t>。</w:t>
      </w:r>
    </w:p>
    <w:p w14:paraId="0192E90E">
      <w:pPr>
        <w:pStyle w:val="5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bookmarkStart w:id="548" w:name="_Toc2214"/>
      <w:bookmarkStart w:id="549" w:name="_Toc6130"/>
      <w:bookmarkStart w:id="550" w:name="_Toc26427"/>
      <w:bookmarkStart w:id="551" w:name="_Toc25794"/>
      <w:r>
        <w:rPr>
          <w:rFonts w:hint="eastAsia"/>
          <w:lang w:val="en-US" w:eastAsia="zh-CN"/>
        </w:rPr>
        <w:t>磋商</w:t>
      </w:r>
      <w:bookmarkEnd w:id="548"/>
      <w:bookmarkEnd w:id="549"/>
      <w:bookmarkEnd w:id="550"/>
      <w:bookmarkEnd w:id="551"/>
    </w:p>
    <w:p w14:paraId="021EF606">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供应商资格审查结束后，采购人、采购代理机构应当组织评审委员会按照</w:t>
      </w:r>
      <w:r>
        <w:rPr>
          <w:rFonts w:hint="eastAsia"/>
          <w:lang w:val="en-US" w:eastAsia="zh-CN"/>
        </w:rPr>
        <w:t>磋商</w:t>
      </w:r>
      <w:r>
        <w:rPr>
          <w:rFonts w:hint="eastAsia"/>
        </w:rPr>
        <w:t>文件的规定与通过资格审查的供应商分别进行磋商。磋商顺序以现场抽签的方式确定。磋商过程中，磋商小组可以根据磋商情况调整磋商轮次</w:t>
      </w:r>
      <w:r>
        <w:rPr>
          <w:rFonts w:hint="eastAsia"/>
          <w:lang w:eastAsia="zh-CN"/>
        </w:rPr>
        <w:t>。</w:t>
      </w:r>
      <w:r>
        <w:rPr>
          <w:rFonts w:hint="eastAsia"/>
        </w:rPr>
        <w:t>每轮磋商开始前，磋商小组应根据磋商文件的规定，并结合各供应商的响应文件拟定磋商内容。</w:t>
      </w:r>
    </w:p>
    <w:p w14:paraId="6A827F43">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lang w:val="zh-CN"/>
        </w:rPr>
      </w:pPr>
      <w:r>
        <w:t>磋商过程中，</w:t>
      </w:r>
      <w:r>
        <w:rPr>
          <w:lang w:val="zh-CN"/>
        </w:rPr>
        <w:t>磋商小组对响应文件的有效性、完整性和响应程度进行审查，审查中发现供应商响应文件属于下列情况之一的，应按照无效响应文件处理：</w:t>
      </w:r>
    </w:p>
    <w:p w14:paraId="6FE32B44">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lang w:val="zh-CN"/>
        </w:rPr>
      </w:pPr>
      <w:r>
        <w:rPr>
          <w:lang w:val="zh-CN"/>
        </w:rPr>
        <w:t>响应文件的语言、计量单位、</w:t>
      </w:r>
      <w:r>
        <w:rPr>
          <w:rFonts w:hint="eastAsia"/>
          <w:lang w:val="zh-CN"/>
        </w:rPr>
        <w:t>知识产权、磋商有效期</w:t>
      </w:r>
      <w:r>
        <w:rPr>
          <w:lang w:val="zh-CN"/>
        </w:rPr>
        <w:t>等不符合</w:t>
      </w:r>
      <w:r>
        <w:rPr>
          <w:rFonts w:hint="eastAsia"/>
          <w:lang w:val="zh-CN"/>
        </w:rPr>
        <w:t>磋商文件</w:t>
      </w:r>
      <w:r>
        <w:rPr>
          <w:lang w:val="zh-CN"/>
        </w:rPr>
        <w:t>的规定，影响磋商小组评判的；</w:t>
      </w:r>
    </w:p>
    <w:p w14:paraId="389E9EAC">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lang w:val="zh-CN"/>
        </w:rPr>
      </w:pPr>
      <w:r>
        <w:rPr>
          <w:lang w:val="zh-CN"/>
        </w:rPr>
        <w:t>但磋商小组对响应文件签署、盖章等进行审查过程中，有下列情形的，磋商小组应当评定为不影响整个响应文件有效性和采购活动公平竞争，并通过响应文件的有效性审查：</w:t>
      </w:r>
    </w:p>
    <w:p w14:paraId="48492F99">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lang w:val="zh-CN"/>
        </w:rPr>
      </w:pPr>
      <w:r>
        <w:rPr>
          <w:lang w:val="zh-CN"/>
        </w:rPr>
        <w:t>响应文件未按照</w:t>
      </w:r>
      <w:r>
        <w:rPr>
          <w:rFonts w:hint="eastAsia"/>
          <w:lang w:val="zh-CN"/>
        </w:rPr>
        <w:t>磋商文件</w:t>
      </w:r>
      <w:r>
        <w:rPr>
          <w:lang w:val="zh-CN"/>
        </w:rPr>
        <w:t>要求进行分装或者统装的；</w:t>
      </w:r>
    </w:p>
    <w:p w14:paraId="5E202C56">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lang w:val="zh-CN"/>
        </w:rPr>
      </w:pPr>
      <w:r>
        <w:rPr>
          <w:lang w:val="zh-CN"/>
        </w:rPr>
        <w:t>响应文件存在个别地方</w:t>
      </w:r>
      <w:r>
        <w:rPr>
          <w:rFonts w:hint="eastAsia"/>
          <w:lang w:val="zh-CN"/>
        </w:rPr>
        <w:t>(</w:t>
      </w:r>
      <w:r>
        <w:rPr>
          <w:lang w:val="zh-CN"/>
        </w:rPr>
        <w:t>总数不能超过2个</w:t>
      </w:r>
      <w:r>
        <w:rPr>
          <w:rFonts w:hint="eastAsia"/>
          <w:lang w:val="zh-CN"/>
        </w:rPr>
        <w:t>)</w:t>
      </w:r>
      <w:r>
        <w:rPr>
          <w:lang w:val="zh-CN"/>
        </w:rPr>
        <w:t>没有法定代表人/单位负责人签字，但有法定代表人/单位负责人的私人印章或者有效授权代理人签字的；</w:t>
      </w:r>
    </w:p>
    <w:p w14:paraId="52995E14">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lang w:val="zh-CN"/>
        </w:rPr>
      </w:pPr>
      <w:r>
        <w:rPr>
          <w:lang w:val="zh-CN"/>
        </w:rPr>
        <w:t>响应文件除</w:t>
      </w:r>
      <w:r>
        <w:rPr>
          <w:rFonts w:hint="eastAsia"/>
          <w:lang w:val="zh-CN"/>
        </w:rPr>
        <w:t>磋商文件</w:t>
      </w:r>
      <w:r>
        <w:rPr>
          <w:lang w:val="zh-CN"/>
        </w:rPr>
        <w:t>明确要求加盖单位(法人)公章的以外，其他地方以相关专用章加盖的；</w:t>
      </w:r>
    </w:p>
    <w:p w14:paraId="0CCD950B">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lang w:val="zh-CN"/>
        </w:rPr>
      </w:pPr>
      <w:r>
        <w:rPr>
          <w:lang w:val="zh-CN"/>
        </w:rPr>
        <w:t>以骑缝章的形式代替响应文件内容逐页盖章的</w:t>
      </w:r>
      <w:r>
        <w:rPr>
          <w:rFonts w:hint="eastAsia"/>
          <w:lang w:val="zh-CN"/>
        </w:rPr>
        <w:t>(</w:t>
      </w:r>
      <w:r>
        <w:rPr>
          <w:lang w:val="zh-CN"/>
        </w:rPr>
        <w:t>但是骑缝章模糊不清，印章名称无法辨认的除外</w:t>
      </w:r>
      <w:r>
        <w:rPr>
          <w:rFonts w:hint="eastAsia"/>
          <w:lang w:val="zh-CN"/>
        </w:rPr>
        <w:t>)</w:t>
      </w:r>
      <w:r>
        <w:rPr>
          <w:lang w:val="zh-CN"/>
        </w:rPr>
        <w:t>。</w:t>
      </w:r>
    </w:p>
    <w:p w14:paraId="77114C50">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default"/>
          <w:lang w:val="en-US" w:eastAsia="zh-CN"/>
        </w:rPr>
      </w:pPr>
      <w:r>
        <w:rPr>
          <w:lang w:val="zh-CN"/>
        </w:rPr>
        <w:t>磋商小组对所有响应文件的有效性、完整性和响应程度进行审查后，向采购代理机构出具有效性、完整性和响应程度审查</w:t>
      </w:r>
      <w:r>
        <w:rPr>
          <w:rFonts w:hint="eastAsia"/>
          <w:lang w:val="en-US" w:eastAsia="zh-CN"/>
        </w:rPr>
        <w:t>意见</w:t>
      </w:r>
      <w:r>
        <w:rPr>
          <w:lang w:val="zh-CN"/>
        </w:rPr>
        <w:t>，确定继续磋商的供应商名单。没有通过有效性、完整性和响应程度审查的供应商，磋商小组应在有效性、完整性和响应程度审查</w:t>
      </w:r>
      <w:r>
        <w:rPr>
          <w:rFonts w:hint="eastAsia"/>
          <w:lang w:val="en-US" w:eastAsia="zh-CN"/>
        </w:rPr>
        <w:t>意见</w:t>
      </w:r>
      <w:r>
        <w:rPr>
          <w:lang w:val="zh-CN"/>
        </w:rPr>
        <w:t>中说明原因。</w:t>
      </w:r>
    </w:p>
    <w:p w14:paraId="2B6709D8">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本项目可能实质性变动的内容：</w:t>
      </w:r>
      <w:r>
        <w:rPr>
          <w:rFonts w:hint="eastAsia"/>
        </w:rPr>
        <w:t>采购需求中的技术、服务要求以及</w:t>
      </w:r>
      <w:r>
        <w:rPr>
          <w:rFonts w:hint="eastAsia"/>
          <w:lang w:val="en-US" w:eastAsia="zh-CN"/>
        </w:rPr>
        <w:t>采购合同</w:t>
      </w:r>
      <w:r>
        <w:rPr>
          <w:rFonts w:hint="eastAsia"/>
        </w:rPr>
        <w:t>条款</w:t>
      </w:r>
      <w:r>
        <w:rPr>
          <w:rFonts w:hint="eastAsia"/>
          <w:lang w:val="en-US" w:eastAsia="zh-CN"/>
        </w:rPr>
        <w:t>。</w:t>
      </w:r>
    </w:p>
    <w:p w14:paraId="35AB3571">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在磋商过程中，磋商小组可以根据磋商文件和磋商情况实质性变动采购需求中的技术、服务要求以及</w:t>
      </w:r>
      <w:r>
        <w:rPr>
          <w:rFonts w:hint="eastAsia"/>
          <w:lang w:val="en-US" w:eastAsia="zh-CN"/>
        </w:rPr>
        <w:t>采购合同</w:t>
      </w:r>
      <w:r>
        <w:rPr>
          <w:rFonts w:hint="eastAsia"/>
        </w:rPr>
        <w:t>条款，但不得变动磋商文件中的其他内容。实质性变动的内容，须经采购人代表确认。</w:t>
      </w:r>
    </w:p>
    <w:p w14:paraId="7314C079">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对磋商文件作出的实质性变动是磋商文件的有效组成部分，评审委员会应当将变动的内容书面通知所有参加磋商的供应商，做好书面记录。</w:t>
      </w:r>
    </w:p>
    <w:p w14:paraId="0A7950D5">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评审委员会变动</w:t>
      </w:r>
      <w:r>
        <w:rPr>
          <w:rFonts w:hint="eastAsia"/>
          <w:lang w:val="en-US" w:eastAsia="zh-CN"/>
        </w:rPr>
        <w:t>磋商</w:t>
      </w:r>
      <w:r>
        <w:rPr>
          <w:rFonts w:hint="eastAsia"/>
        </w:rPr>
        <w:t>文件的，应当要求供应商就变动的部分重新提交响应文件，并给予供应商重新提交响应文件的合理时间。供应商变更其响应文件，应当以有利于满足磋商文件要求为原则，不得变更为不利于满足磋商文件规定，否则，其响应文件作为无效处理</w:t>
      </w:r>
      <w:r>
        <w:rPr>
          <w:rFonts w:hint="eastAsia"/>
          <w:lang w:eastAsia="zh-CN"/>
        </w:rPr>
        <w:t>。</w:t>
      </w:r>
    </w:p>
    <w:p w14:paraId="5649DCAA">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磋商过程中，磋商的任何一方不得透露与磋商有关的其他供应商的技术资料、价格和其他信息</w:t>
      </w:r>
      <w:r>
        <w:rPr>
          <w:rFonts w:hint="eastAsia"/>
          <w:lang w:eastAsia="zh-CN"/>
        </w:rPr>
        <w:t>。</w:t>
      </w:r>
    </w:p>
    <w:p w14:paraId="350C78A2">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磋商过程中，供应商可以根据磋商情况变更其响应文件，并将变更内容形成书面材料送评审委员会。供应商变更内容书面材料应当签字确认或者加盖公章，否则无效。变更内容书面材料的签字确认，供应商为法人的，由其法定代表人或者代理人签字确认；供应商为其他组织的，由其主要负责人或者代理人签字确认；供应商为自然人的，由其本人或者代理人签字确认。有效的变更内容书面材料应作为响应文件的一部分。供应商响应文件中已经提供授权书、身份证明的，可以不再提供。</w:t>
      </w:r>
    </w:p>
    <w:p w14:paraId="3D2A2E61">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供应商重新提交响应文件的，响应文件应当按照前款规定签字确认或者加盖公章，否则无效。</w:t>
      </w:r>
    </w:p>
    <w:p w14:paraId="11F4E982">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评审委员会经与供应商磋商和对供应商响应文件审查后，供应商响应文件未实质性响应</w:t>
      </w:r>
      <w:r>
        <w:rPr>
          <w:rFonts w:hint="eastAsia"/>
          <w:lang w:val="en-US" w:eastAsia="zh-CN"/>
        </w:rPr>
        <w:t>磋商</w:t>
      </w:r>
      <w:r>
        <w:rPr>
          <w:rFonts w:hint="eastAsia"/>
        </w:rPr>
        <w:t>文件的，评审委员会应当对其响应文件按无效处理，并书面告知供应商，说明理由。</w:t>
      </w:r>
    </w:p>
    <w:p w14:paraId="5796AA41">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lang w:val="en-US" w:eastAsia="zh-CN"/>
        </w:rPr>
        <w:t>磋商过程中，评审专家应当遵守评审工作纪律，不得泄露评审情况和评审中获悉的商业秘密。磋商小组在评审过程中发现供应商有行贿、提供虚假材料或者串通等违法行为的，应当及时向有关部门报告。评审专家在评审过程中受到非法干涉的，应当及时向监察等部门举报。</w:t>
      </w:r>
    </w:p>
    <w:p w14:paraId="4086C859">
      <w:pPr>
        <w:pStyle w:val="5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bookmarkStart w:id="552" w:name="_Toc14484"/>
      <w:bookmarkStart w:id="553" w:name="_Toc29047"/>
      <w:bookmarkStart w:id="554" w:name="_Toc5408"/>
      <w:bookmarkStart w:id="555" w:name="_Toc29996"/>
      <w:r>
        <w:rPr>
          <w:rFonts w:hint="eastAsia"/>
          <w:lang w:val="en-US" w:eastAsia="zh-CN"/>
        </w:rPr>
        <w:t>采购活动终止</w:t>
      </w:r>
      <w:bookmarkEnd w:id="552"/>
      <w:bookmarkEnd w:id="553"/>
      <w:bookmarkEnd w:id="554"/>
      <w:bookmarkEnd w:id="555"/>
    </w:p>
    <w:p w14:paraId="18410E4B">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出现下列情形之一的，采购人或者采购代理机构应当终止竞争性磋商采购活动，发布项目终止公告并说明原因，重新开展采购活动：</w:t>
      </w:r>
    </w:p>
    <w:p w14:paraId="6774A42E">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因情况变化，不再符合规定的竞争性磋商采购方式适用情形的；</w:t>
      </w:r>
    </w:p>
    <w:p w14:paraId="5CAF5C2C">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在采购过程中符合要求的供应商或者</w:t>
      </w:r>
      <w:r>
        <w:rPr>
          <w:rFonts w:hint="eastAsia"/>
          <w:lang w:val="en-US" w:eastAsia="zh-CN"/>
        </w:rPr>
        <w:t>最后</w:t>
      </w:r>
      <w:r>
        <w:rPr>
          <w:rFonts w:hint="eastAsia"/>
        </w:rPr>
        <w:t>报价未超过采购预算</w:t>
      </w:r>
      <w:r>
        <w:rPr>
          <w:rFonts w:hint="eastAsia"/>
          <w:lang w:val="en-US" w:eastAsia="zh-CN"/>
        </w:rPr>
        <w:t>或采购最高限价</w:t>
      </w:r>
      <w:r>
        <w:rPr>
          <w:rFonts w:hint="eastAsia"/>
        </w:rPr>
        <w:t>的供应商不足</w:t>
      </w:r>
      <w:r>
        <w:rPr>
          <w:rFonts w:hint="eastAsia"/>
          <w:lang w:eastAsia="zh-CN"/>
        </w:rPr>
        <w:t>三</w:t>
      </w:r>
      <w:r>
        <w:rPr>
          <w:rFonts w:hint="eastAsia"/>
        </w:rPr>
        <w:t>家的；</w:t>
      </w:r>
    </w:p>
    <w:p w14:paraId="75870EBE">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出现影响采购公正的违法、违规行为的；</w:t>
      </w:r>
    </w:p>
    <w:p w14:paraId="146D966D">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其他无法继续开展磋商或者无法成交的情形。</w:t>
      </w:r>
    </w:p>
    <w:p w14:paraId="01474C31">
      <w:pPr>
        <w:pStyle w:val="53"/>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注：终止后，采购代理机构应在“西南石油大学采购信息网(http://cwcggl.swpu.edu.cn/index.chtml)”公告</w:t>
      </w:r>
      <w:r>
        <w:rPr>
          <w:rFonts w:hint="eastAsia" w:ascii="宋体" w:hAnsi="宋体" w:cs="宋体"/>
          <w:snapToGrid w:val="0"/>
          <w:color w:val="auto"/>
          <w:kern w:val="0"/>
        </w:rPr>
        <w:t>。</w:t>
      </w:r>
    </w:p>
    <w:p w14:paraId="09728815">
      <w:pPr>
        <w:pStyle w:val="5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bookmarkStart w:id="556" w:name="_Toc20666"/>
      <w:bookmarkStart w:id="557" w:name="_Toc21803"/>
      <w:bookmarkStart w:id="558" w:name="_Toc31944"/>
      <w:bookmarkStart w:id="559" w:name="_Toc32123"/>
      <w:r>
        <w:rPr>
          <w:rFonts w:hint="eastAsia"/>
          <w:lang w:val="en-US" w:eastAsia="zh-CN"/>
        </w:rPr>
        <w:t>报价</w:t>
      </w:r>
      <w:bookmarkEnd w:id="556"/>
      <w:bookmarkEnd w:id="557"/>
      <w:bookmarkEnd w:id="558"/>
      <w:bookmarkEnd w:id="559"/>
    </w:p>
    <w:p w14:paraId="2EFAA77E">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磋商结束后，磋商小组应当要求所有实质性响应的供应商在规定时间内提交最后报价(格式由采购代理机构现场提供)，提交最后报价的供应商不得少于3家。已提交响应文件的供应商，在提交最后报价之前，可以根据磋商情况退出磋商</w:t>
      </w:r>
      <w:r>
        <w:rPr>
          <w:rFonts w:hint="eastAsia"/>
          <w:lang w:eastAsia="zh-CN"/>
        </w:rPr>
        <w:t>。</w:t>
      </w:r>
    </w:p>
    <w:p w14:paraId="751EBDE4">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已提交响应文件的供应商，在提交最后报价之前，可以根据磋商情况退出磋商</w:t>
      </w:r>
      <w:r>
        <w:rPr>
          <w:rFonts w:hint="eastAsia"/>
          <w:lang w:eastAsia="zh-CN"/>
        </w:rPr>
        <w:t>。</w:t>
      </w:r>
    </w:p>
    <w:p w14:paraId="3674C318">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lang w:val="en-US" w:eastAsia="zh-CN"/>
        </w:rPr>
        <w:t>供应商进行现场报价，应当在评审室外填写报价单，密封递交采购人、采购代理机构工作人员，由采购人、采购代理机构工作人员收齐后集中递交评审委员会。采购人、采购代理机构工作人员不能拆封供应商报价单。</w:t>
      </w:r>
    </w:p>
    <w:p w14:paraId="21D0ED4C">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lang w:val="en-US" w:eastAsia="zh-CN"/>
        </w:rPr>
        <w:t>供应商报价单应当签字确认或者加盖公章，否则无效。报价单的签字确认，供应商为法人的，由其法定代表人或者代理人签字确认；供应商为其他组织的，由其主要负责人或者代理人签字确认；供应商为自然人的，由其本人或者代理人签字确认。</w:t>
      </w:r>
    </w:p>
    <w:p w14:paraId="5EFF82C5">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rPr>
        <w:t>磋商结束后，磋商小组应当要求所有实质性响应的供应商在规定时间内提交最后报价。两轮</w:t>
      </w:r>
      <w:r>
        <w:rPr>
          <w:rFonts w:hint="eastAsia"/>
          <w:lang w:eastAsia="zh-CN"/>
        </w:rPr>
        <w:t>(</w:t>
      </w:r>
      <w:r>
        <w:rPr>
          <w:rFonts w:hint="eastAsia"/>
        </w:rPr>
        <w:t>若有</w:t>
      </w:r>
      <w:r>
        <w:rPr>
          <w:rFonts w:hint="eastAsia"/>
          <w:lang w:eastAsia="zh-CN"/>
        </w:rPr>
        <w:t>)</w:t>
      </w:r>
      <w:r>
        <w:rPr>
          <w:rFonts w:hint="eastAsia"/>
        </w:rPr>
        <w:t>以上报价的，供应商在未提高响应文件中承诺的产品及其服务质量的情况下，其最后报价不得高于对该项目之前的报价，否则，磋商小组应当对其响应文件按无效处理，不允许进入综合评分，并书面告知供应商，说明理由。</w:t>
      </w:r>
    </w:p>
    <w:p w14:paraId="119CEC23">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eastAsia="zh-CN"/>
        </w:rPr>
      </w:pPr>
      <w:r>
        <w:rPr>
          <w:rFonts w:hint="eastAsia"/>
        </w:rPr>
        <w:t>最后报价中的算术错误将按以下方法修正：响应文件大写金额和小写金额不一致的，以大写金额为准，但大写金额文字存在错误的，应当先对大写金额的文字错误进行澄清、说明或者更正，再行修正</w:t>
      </w:r>
      <w:r>
        <w:rPr>
          <w:rFonts w:hint="eastAsia"/>
          <w:lang w:eastAsia="zh-CN"/>
        </w:rPr>
        <w:t>；</w:t>
      </w:r>
    </w:p>
    <w:p w14:paraId="3AF1ABEA">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eastAsia="zh-CN"/>
        </w:rPr>
      </w:pPr>
      <w:r>
        <w:rPr>
          <w:rFonts w:hint="eastAsia"/>
        </w:rPr>
        <w:t>总价金额与按单价汇总金额不一致的，以单价金额计算结果为准，但单价或者单价汇总金额存在数字或者文字错误的，应当先对数字或者文字错误进行澄清、说明或者更正，再行修正</w:t>
      </w:r>
      <w:r>
        <w:rPr>
          <w:rFonts w:hint="eastAsia"/>
          <w:lang w:eastAsia="zh-CN"/>
        </w:rPr>
        <w:t>；</w:t>
      </w:r>
    </w:p>
    <w:p w14:paraId="4B6DA97F">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单价金额小数点或者百分比有明显错位的，以总价为准，修正单价。</w:t>
      </w:r>
    </w:p>
    <w:p w14:paraId="50E32215">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同时出现两种以上不一致的，按照上述规定的顺序修正。修正后的报价经供应商确认后产生约束力，供应商不确认的，其响应文件作为无效处理。供应商确认采取书面且加盖单位公章或者供应商授权代表签字的方式</w:t>
      </w:r>
      <w:r>
        <w:rPr>
          <w:rFonts w:hint="eastAsia"/>
          <w:lang w:eastAsia="zh-CN"/>
        </w:rPr>
        <w:t>。</w:t>
      </w:r>
      <w:r>
        <w:rPr>
          <w:rFonts w:hint="eastAsia"/>
        </w:rPr>
        <w:t>如果小写、大写金额和单价、总价金额出现明显文字错误，应当按照澄清、说明或者更正程序先纠正错误后，再行修正，不得不经过澄清、说明或者更正，直接将供应商响应文件作为无效处理。对不同文字文本响应文件的解释发生异议的，以中文文本为准。</w:t>
      </w:r>
    </w:p>
    <w:p w14:paraId="20AD8503">
      <w:pPr>
        <w:pStyle w:val="41"/>
        <w:pageBreakBefore w:val="0"/>
        <w:numPr>
          <w:ilvl w:val="-1"/>
          <w:numId w:val="0"/>
        </w:numPr>
        <w:kinsoku/>
        <w:overflowPunct/>
        <w:autoSpaceDE/>
        <w:autoSpaceDN/>
        <w:bidi w:val="0"/>
        <w:spacing w:line="520" w:lineRule="exact"/>
        <w:ind w:leftChars="0" w:firstLine="480" w:firstLineChars="200"/>
        <w:textAlignment w:val="auto"/>
        <w:rPr>
          <w:rFonts w:hint="eastAsia"/>
          <w:lang w:val="en-US" w:eastAsia="zh-CN"/>
        </w:rPr>
      </w:pPr>
      <w:r>
        <w:rPr>
          <w:rFonts w:hint="eastAsia"/>
          <w:b w:val="0"/>
          <w:bCs w:val="0"/>
          <w:lang w:val="en-US" w:eastAsia="zh-CN"/>
        </w:rPr>
        <w:t>7.小微企业、监狱企业、残疾人福利性单位按照本项目磋商须知前附表中规定进行价格调整。</w:t>
      </w:r>
    </w:p>
    <w:p w14:paraId="619A9F71">
      <w:pPr>
        <w:pStyle w:val="5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bookmarkStart w:id="560" w:name="_Toc24441"/>
      <w:bookmarkStart w:id="561" w:name="_Toc27038"/>
      <w:bookmarkStart w:id="562" w:name="_Toc14272"/>
      <w:bookmarkStart w:id="563" w:name="_Toc15902"/>
      <w:r>
        <w:rPr>
          <w:rFonts w:hint="eastAsia"/>
          <w:lang w:val="en-US" w:eastAsia="zh-CN"/>
        </w:rPr>
        <w:t>评审方法</w:t>
      </w:r>
      <w:bookmarkEnd w:id="560"/>
      <w:bookmarkEnd w:id="561"/>
      <w:bookmarkEnd w:id="562"/>
      <w:bookmarkEnd w:id="563"/>
    </w:p>
    <w:p w14:paraId="366189D0">
      <w:pPr>
        <w:pStyle w:val="51"/>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lang w:val="en-US" w:eastAsia="zh-CN"/>
        </w:rPr>
        <w:t>本项目采用综合评分法</w:t>
      </w:r>
    </w:p>
    <w:p w14:paraId="7B3C6D6F">
      <w:pPr>
        <w:pStyle w:val="69"/>
        <w:keepNext w:val="0"/>
        <w:keepLines w:val="0"/>
        <w:pageBreakBefore w:val="0"/>
        <w:widowControl w:val="0"/>
        <w:numPr>
          <w:ilvl w:val="3"/>
          <w:numId w:val="0"/>
        </w:numPr>
        <w:kinsoku/>
        <w:wordWrap w:val="0"/>
        <w:overflowPunct/>
        <w:topLinePunct/>
        <w:autoSpaceDE/>
        <w:autoSpaceDN/>
        <w:bidi w:val="0"/>
        <w:adjustRightInd w:val="0"/>
        <w:snapToGrid w:val="0"/>
        <w:spacing w:line="520" w:lineRule="exact"/>
        <w:ind w:firstLine="480" w:firstLineChars="200"/>
        <w:textAlignment w:val="auto"/>
        <w:rPr>
          <w:rFonts w:hint="eastAsia"/>
          <w:highlight w:val="none"/>
        </w:rPr>
      </w:pPr>
      <w:r>
        <w:rPr>
          <w:rFonts w:hint="eastAsia"/>
        </w:rPr>
        <w:t>经磋商确定最终采购需求和提交最后报价的供应商后，由磋商小组采用综合评分法对提交最后报价的供应商的响应文件和最后报价进行综合评分。磋商文件</w:t>
      </w:r>
      <w:r>
        <w:rPr>
          <w:rFonts w:hint="eastAsia"/>
          <w:highlight w:val="none"/>
        </w:rPr>
        <w:t>中没有规定的评审标准不得作为评审依据。</w:t>
      </w:r>
    </w:p>
    <w:p w14:paraId="26FA30DF">
      <w:pPr>
        <w:pStyle w:val="5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highlight w:val="none"/>
          <w:lang w:val="en-US" w:eastAsia="zh-CN"/>
        </w:rPr>
      </w:pPr>
      <w:bookmarkStart w:id="564" w:name="_Toc21694"/>
      <w:bookmarkStart w:id="565" w:name="_Toc29323"/>
      <w:bookmarkStart w:id="566" w:name="_Toc30066"/>
      <w:bookmarkStart w:id="567" w:name="_Toc31889"/>
      <w:r>
        <w:rPr>
          <w:rFonts w:hint="eastAsia"/>
          <w:highlight w:val="none"/>
          <w:lang w:val="en-US" w:eastAsia="zh-CN"/>
        </w:rPr>
        <w:t>评审标准</w:t>
      </w:r>
      <w:bookmarkEnd w:id="564"/>
      <w:bookmarkEnd w:id="565"/>
      <w:bookmarkEnd w:id="566"/>
      <w:bookmarkEnd w:id="567"/>
    </w:p>
    <w:tbl>
      <w:tblPr>
        <w:tblStyle w:val="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80"/>
        <w:gridCol w:w="1098"/>
        <w:gridCol w:w="624"/>
        <w:gridCol w:w="5659"/>
        <w:gridCol w:w="661"/>
      </w:tblGrid>
      <w:tr w14:paraId="51B42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blHeader/>
          <w:jc w:val="center"/>
        </w:trPr>
        <w:tc>
          <w:tcPr>
            <w:tcW w:w="282" w:type="pct"/>
            <w:vAlign w:val="center"/>
          </w:tcPr>
          <w:p w14:paraId="72EBFE43">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w:t>序号</w:t>
            </w:r>
          </w:p>
        </w:tc>
        <w:tc>
          <w:tcPr>
            <w:tcW w:w="644" w:type="pct"/>
            <w:vAlign w:val="center"/>
          </w:tcPr>
          <w:p w14:paraId="24BFDD6F">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w:t>评分因素及权重</w:t>
            </w:r>
          </w:p>
        </w:tc>
        <w:tc>
          <w:tcPr>
            <w:tcW w:w="366" w:type="pct"/>
            <w:vAlign w:val="center"/>
          </w:tcPr>
          <w:p w14:paraId="09D3D018">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w:t>分值</w:t>
            </w:r>
          </w:p>
        </w:tc>
        <w:tc>
          <w:tcPr>
            <w:tcW w:w="3320" w:type="pct"/>
            <w:vAlign w:val="center"/>
          </w:tcPr>
          <w:p w14:paraId="2D135FAC">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w:t>评分标准</w:t>
            </w:r>
          </w:p>
        </w:tc>
        <w:tc>
          <w:tcPr>
            <w:tcW w:w="387" w:type="pct"/>
            <w:vAlign w:val="center"/>
          </w:tcPr>
          <w:p w14:paraId="104A4749">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b/>
                <w:bCs/>
                <w:sz w:val="21"/>
                <w:szCs w:val="21"/>
                <w:highlight w:val="none"/>
              </w:rPr>
            </w:pPr>
            <w:r>
              <w:rPr>
                <w:rFonts w:hint="eastAsia" w:ascii="宋体" w:hAnsi="宋体" w:eastAsia="宋体" w:cs="宋体"/>
                <w:b/>
                <w:bCs/>
                <w:color w:val="000000"/>
                <w:sz w:val="21"/>
                <w:szCs w:val="21"/>
                <w:highlight w:val="none"/>
              </w:rPr>
              <w:t>说明</w:t>
            </w:r>
          </w:p>
        </w:tc>
      </w:tr>
      <w:tr w14:paraId="55F6F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2" w:type="pct"/>
            <w:vAlign w:val="center"/>
          </w:tcPr>
          <w:p w14:paraId="01FFB0E5">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一</w:t>
            </w:r>
          </w:p>
        </w:tc>
        <w:tc>
          <w:tcPr>
            <w:tcW w:w="644" w:type="pct"/>
            <w:vAlign w:val="center"/>
          </w:tcPr>
          <w:p w14:paraId="2A1BD7E2">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报价</w:t>
            </w: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w:t>
            </w:r>
          </w:p>
        </w:tc>
        <w:tc>
          <w:tcPr>
            <w:tcW w:w="366" w:type="pct"/>
            <w:vAlign w:val="center"/>
          </w:tcPr>
          <w:p w14:paraId="6E966565">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10</w:t>
            </w:r>
            <w:r>
              <w:rPr>
                <w:rFonts w:hint="eastAsia" w:ascii="宋体" w:hAnsi="宋体" w:eastAsia="宋体" w:cs="宋体"/>
                <w:color w:val="000000"/>
                <w:sz w:val="21"/>
                <w:szCs w:val="21"/>
                <w:highlight w:val="none"/>
              </w:rPr>
              <w:t>分</w:t>
            </w:r>
          </w:p>
        </w:tc>
        <w:tc>
          <w:tcPr>
            <w:tcW w:w="3320" w:type="pct"/>
            <w:vAlign w:val="center"/>
          </w:tcPr>
          <w:p w14:paraId="7F05CE04">
            <w:pPr>
              <w:pStyle w:val="47"/>
              <w:keepNext w:val="0"/>
              <w:keepLines w:val="0"/>
              <w:pageBreakBefore w:val="0"/>
              <w:widowControl w:val="0"/>
              <w:kinsoku/>
              <w:overflowPunct/>
              <w:autoSpaceDE/>
              <w:autoSpaceDN/>
              <w:bidi w:val="0"/>
              <w:adjustRightInd/>
              <w:snapToGrid/>
              <w:spacing w:line="360" w:lineRule="exact"/>
              <w:ind w:left="0" w:leftChars="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满足磋商文件要求且最后报价最低的供应商的价格为磋商基准价，其价格分为满分。其他供应商的价格分统一按照下列公式计算：</w:t>
            </w:r>
          </w:p>
          <w:p w14:paraId="1CA19C3B">
            <w:pPr>
              <w:keepNext w:val="0"/>
              <w:keepLines w:val="0"/>
              <w:pageBreakBefore w:val="0"/>
              <w:widowControl w:val="0"/>
              <w:kinsoku/>
              <w:overflowPunct/>
              <w:autoSpaceDE/>
              <w:autoSpaceDN/>
              <w:bidi w:val="0"/>
              <w:adjustRightInd/>
              <w:snapToGrid/>
              <w:spacing w:line="360" w:lineRule="exact"/>
              <w:ind w:left="0" w:leftChars="0" w:firstLine="0"/>
              <w:textAlignment w:val="auto"/>
              <w:rPr>
                <w:rFonts w:hint="eastAsia" w:ascii="宋体" w:hAnsi="宋体" w:eastAsia="宋体" w:cs="宋体"/>
                <w:snapToGrid w:val="0"/>
                <w:sz w:val="21"/>
                <w:szCs w:val="21"/>
                <w:highlight w:val="none"/>
              </w:rPr>
            </w:pPr>
            <w:r>
              <w:rPr>
                <w:rFonts w:hint="eastAsia" w:ascii="宋体" w:hAnsi="宋体" w:eastAsia="宋体" w:cs="宋体"/>
                <w:snapToGrid w:val="0"/>
                <w:sz w:val="21"/>
                <w:szCs w:val="21"/>
                <w:highlight w:val="none"/>
              </w:rPr>
              <w:t>磋商报价得分=(磋商基准价/最后磋商报价)×</w:t>
            </w:r>
            <w:r>
              <w:rPr>
                <w:rFonts w:hint="eastAsia" w:ascii="宋体" w:hAnsi="宋体" w:eastAsia="宋体" w:cs="宋体"/>
                <w:snapToGrid w:val="0"/>
                <w:sz w:val="21"/>
                <w:szCs w:val="21"/>
                <w:highlight w:val="none"/>
                <w:lang w:val="en-US" w:eastAsia="zh-CN"/>
              </w:rPr>
              <w:t>10</w:t>
            </w:r>
            <w:r>
              <w:rPr>
                <w:rFonts w:hint="eastAsia" w:ascii="宋体" w:hAnsi="宋体" w:eastAsia="宋体" w:cs="宋体"/>
                <w:snapToGrid w:val="0"/>
                <w:sz w:val="21"/>
                <w:szCs w:val="21"/>
                <w:highlight w:val="none"/>
              </w:rPr>
              <w:t>；</w:t>
            </w:r>
          </w:p>
          <w:p w14:paraId="155C5D06">
            <w:pPr>
              <w:keepNext w:val="0"/>
              <w:keepLines w:val="0"/>
              <w:pageBreakBefore w:val="0"/>
              <w:widowControl w:val="0"/>
              <w:kinsoku/>
              <w:overflowPunct/>
              <w:autoSpaceDE/>
              <w:autoSpaceDN/>
              <w:bidi w:val="0"/>
              <w:adjustRightInd/>
              <w:snapToGrid/>
              <w:spacing w:line="360" w:lineRule="exact"/>
              <w:ind w:left="0" w:leftChars="0" w:firstLine="0"/>
              <w:textAlignment w:val="auto"/>
              <w:rPr>
                <w:rFonts w:hint="eastAsia" w:ascii="宋体" w:hAnsi="宋体" w:eastAsia="宋体" w:cs="宋体"/>
                <w:sz w:val="21"/>
                <w:szCs w:val="21"/>
                <w:highlight w:val="none"/>
              </w:rPr>
            </w:pPr>
            <w:r>
              <w:rPr>
                <w:rFonts w:hint="eastAsia" w:ascii="宋体" w:hAnsi="宋体" w:eastAsia="宋体" w:cs="宋体"/>
                <w:b/>
                <w:bCs/>
                <w:sz w:val="21"/>
                <w:szCs w:val="21"/>
                <w:highlight w:val="none"/>
              </w:rPr>
              <w:t>注：项目评审过程中，不得去掉最后报价中的最高报价和最低报价</w:t>
            </w:r>
            <w:r>
              <w:rPr>
                <w:rFonts w:hint="eastAsia" w:ascii="宋体" w:hAnsi="宋体" w:eastAsia="宋体" w:cs="宋体"/>
                <w:b/>
                <w:bCs/>
                <w:sz w:val="21"/>
                <w:szCs w:val="21"/>
                <w:highlight w:val="none"/>
                <w:lang w:val="en-US" w:eastAsia="zh-CN"/>
              </w:rPr>
              <w:t>。</w:t>
            </w:r>
          </w:p>
        </w:tc>
        <w:tc>
          <w:tcPr>
            <w:tcW w:w="387" w:type="pct"/>
            <w:vAlign w:val="center"/>
          </w:tcPr>
          <w:p w14:paraId="1AA2A72B">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共同评分因素</w:t>
            </w:r>
          </w:p>
        </w:tc>
      </w:tr>
      <w:tr w14:paraId="360F0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2" w:type="pct"/>
            <w:vAlign w:val="center"/>
          </w:tcPr>
          <w:p w14:paraId="5B021177">
            <w:pPr>
              <w:pStyle w:val="50"/>
              <w:keepNext w:val="0"/>
              <w:keepLines w:val="0"/>
              <w:pageBreakBefore w:val="0"/>
              <w:widowControl w:val="0"/>
              <w:kinsoku/>
              <w:overflowPunct/>
              <w:autoSpaceDE/>
              <w:autoSpaceDN/>
              <w:bidi w:val="0"/>
              <w:spacing w:line="360" w:lineRule="exact"/>
              <w:ind w:left="0" w:leftChars="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二</w:t>
            </w:r>
          </w:p>
        </w:tc>
        <w:tc>
          <w:tcPr>
            <w:tcW w:w="644" w:type="pct"/>
            <w:vAlign w:val="center"/>
          </w:tcPr>
          <w:p w14:paraId="5F1CC79D">
            <w:pPr>
              <w:pStyle w:val="50"/>
              <w:keepNext w:val="0"/>
              <w:keepLines w:val="0"/>
              <w:pageBreakBefore w:val="0"/>
              <w:widowControl w:val="0"/>
              <w:kinsoku/>
              <w:overflowPunct/>
              <w:autoSpaceDE/>
              <w:autoSpaceDN/>
              <w:bidi w:val="0"/>
              <w:spacing w:line="360" w:lineRule="exact"/>
              <w:ind w:left="0" w:leftChars="0" w:firstLine="0" w:firstLineChars="0"/>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拟派人员</w:t>
            </w:r>
            <w:r>
              <w:rPr>
                <w:rFonts w:hint="eastAsia" w:cs="宋体"/>
                <w:color w:val="000000"/>
                <w:sz w:val="21"/>
                <w:szCs w:val="21"/>
                <w:highlight w:val="none"/>
                <w:lang w:val="en-US" w:eastAsia="zh-CN"/>
              </w:rPr>
              <w:t>30</w:t>
            </w:r>
            <w:r>
              <w:rPr>
                <w:rFonts w:hint="eastAsia" w:ascii="宋体" w:hAnsi="宋体" w:eastAsia="宋体" w:cs="宋体"/>
                <w:color w:val="000000"/>
                <w:sz w:val="21"/>
                <w:szCs w:val="21"/>
                <w:highlight w:val="none"/>
              </w:rPr>
              <w:t>%</w:t>
            </w:r>
          </w:p>
        </w:tc>
        <w:tc>
          <w:tcPr>
            <w:tcW w:w="366" w:type="pct"/>
            <w:vAlign w:val="center"/>
          </w:tcPr>
          <w:p w14:paraId="5C7DD760">
            <w:pPr>
              <w:pStyle w:val="50"/>
              <w:keepNext w:val="0"/>
              <w:keepLines w:val="0"/>
              <w:pageBreakBefore w:val="0"/>
              <w:widowControl w:val="0"/>
              <w:kinsoku/>
              <w:overflowPunct/>
              <w:autoSpaceDE/>
              <w:autoSpaceDN/>
              <w:bidi w:val="0"/>
              <w:spacing w:line="360" w:lineRule="exact"/>
              <w:ind w:left="0" w:leftChars="0" w:firstLine="0" w:firstLineChars="0"/>
              <w:textAlignment w:val="auto"/>
              <w:rPr>
                <w:rFonts w:hint="eastAsia" w:ascii="宋体" w:hAnsi="宋体" w:eastAsia="宋体" w:cs="宋体"/>
                <w:sz w:val="21"/>
                <w:szCs w:val="21"/>
                <w:highlight w:val="none"/>
                <w:lang w:val="en-US" w:eastAsia="zh-CN"/>
              </w:rPr>
            </w:pPr>
            <w:r>
              <w:rPr>
                <w:rFonts w:hint="eastAsia" w:cs="宋体"/>
                <w:sz w:val="21"/>
                <w:szCs w:val="21"/>
                <w:highlight w:val="none"/>
                <w:lang w:val="en-US" w:eastAsia="zh-CN"/>
              </w:rPr>
              <w:t>30</w:t>
            </w:r>
            <w:r>
              <w:rPr>
                <w:rFonts w:hint="eastAsia" w:ascii="宋体" w:hAnsi="宋体" w:eastAsia="宋体" w:cs="宋体"/>
                <w:sz w:val="21"/>
                <w:szCs w:val="21"/>
                <w:highlight w:val="none"/>
              </w:rPr>
              <w:t>分</w:t>
            </w:r>
          </w:p>
        </w:tc>
        <w:tc>
          <w:tcPr>
            <w:tcW w:w="3320" w:type="pct"/>
            <w:vAlign w:val="center"/>
          </w:tcPr>
          <w:p w14:paraId="64ADE039">
            <w:pPr>
              <w:pStyle w:val="47"/>
              <w:keepNext w:val="0"/>
              <w:keepLines w:val="0"/>
              <w:pageBreakBefore w:val="0"/>
              <w:widowControl w:val="0"/>
              <w:kinsoku/>
              <w:overflowPunct/>
              <w:autoSpaceDE/>
              <w:autoSpaceDN/>
              <w:bidi w:val="0"/>
              <w:adjustRightInd/>
              <w:snapToGrid/>
              <w:spacing w:line="360" w:lineRule="exact"/>
              <w:ind w:left="0" w:leftChars="0" w:firstLine="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1.项目负责人</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1人</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：具有工程类中级职称得2分，具有工程类高级及以上职称得4分；最多得4分。</w:t>
            </w:r>
          </w:p>
          <w:p w14:paraId="5D416B24">
            <w:pPr>
              <w:pStyle w:val="47"/>
              <w:keepNext w:val="0"/>
              <w:keepLines w:val="0"/>
              <w:pageBreakBefore w:val="0"/>
              <w:widowControl w:val="0"/>
              <w:kinsoku/>
              <w:overflowPunct/>
              <w:autoSpaceDE/>
              <w:autoSpaceDN/>
              <w:bidi w:val="0"/>
              <w:adjustRightInd/>
              <w:snapToGrid/>
              <w:spacing w:line="360" w:lineRule="exact"/>
              <w:ind w:left="0" w:leftChars="0" w:firstLine="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2.项目技术负责人</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1人</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：具有工程类中级职称得2分，具有工程类高级及以上职称得4分；最多得4分。</w:t>
            </w:r>
          </w:p>
          <w:p w14:paraId="567F5098">
            <w:pPr>
              <w:pStyle w:val="47"/>
              <w:keepNext w:val="0"/>
              <w:keepLines w:val="0"/>
              <w:pageBreakBefore w:val="0"/>
              <w:widowControl w:val="0"/>
              <w:kinsoku/>
              <w:overflowPunct/>
              <w:autoSpaceDE/>
              <w:autoSpaceDN/>
              <w:bidi w:val="0"/>
              <w:adjustRightInd/>
              <w:snapToGrid/>
              <w:spacing w:line="360" w:lineRule="exact"/>
              <w:ind w:left="0" w:leftChars="0" w:firstLine="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3.土建专业负责人</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1人</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：具备全国注册造价工程师或一级造价工程师</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土木建筑专业</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得</w:t>
            </w:r>
            <w:r>
              <w:rPr>
                <w:rFonts w:hint="eastAsia" w:cs="宋体"/>
                <w:sz w:val="21"/>
                <w:szCs w:val="21"/>
                <w:highlight w:val="none"/>
                <w:lang w:val="en-US" w:eastAsia="zh-CN"/>
              </w:rPr>
              <w:t>3</w:t>
            </w:r>
            <w:r>
              <w:rPr>
                <w:rFonts w:hint="eastAsia" w:ascii="宋体" w:hAnsi="宋体" w:eastAsia="宋体" w:cs="宋体"/>
                <w:sz w:val="21"/>
                <w:szCs w:val="21"/>
                <w:highlight w:val="none"/>
                <w:lang w:val="en-US" w:eastAsia="zh-CN"/>
              </w:rPr>
              <w:t>分，同时具有工程类中级及以上职称加2分，最多得</w:t>
            </w:r>
            <w:r>
              <w:rPr>
                <w:rFonts w:hint="eastAsia" w:cs="宋体"/>
                <w:sz w:val="21"/>
                <w:szCs w:val="21"/>
                <w:highlight w:val="none"/>
                <w:lang w:val="en-US" w:eastAsia="zh-CN"/>
              </w:rPr>
              <w:t>5</w:t>
            </w:r>
            <w:r>
              <w:rPr>
                <w:rFonts w:hint="eastAsia" w:ascii="宋体" w:hAnsi="宋体" w:eastAsia="宋体" w:cs="宋体"/>
                <w:sz w:val="21"/>
                <w:szCs w:val="21"/>
                <w:highlight w:val="none"/>
                <w:lang w:val="en-US" w:eastAsia="zh-CN"/>
              </w:rPr>
              <w:t>分。</w:t>
            </w:r>
          </w:p>
          <w:p w14:paraId="2E0030D6">
            <w:pPr>
              <w:pStyle w:val="47"/>
              <w:keepNext w:val="0"/>
              <w:keepLines w:val="0"/>
              <w:pageBreakBefore w:val="0"/>
              <w:widowControl w:val="0"/>
              <w:kinsoku/>
              <w:overflowPunct/>
              <w:autoSpaceDE/>
              <w:autoSpaceDN/>
              <w:bidi w:val="0"/>
              <w:adjustRightInd/>
              <w:snapToGrid/>
              <w:spacing w:line="360" w:lineRule="exact"/>
              <w:ind w:left="0" w:leftChars="0" w:firstLine="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4.安装专业负责人</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1人</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：具备全国注册造价工程师或一级造价工程师</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安装专业</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得</w:t>
            </w:r>
            <w:r>
              <w:rPr>
                <w:rFonts w:hint="eastAsia" w:cs="宋体"/>
                <w:sz w:val="21"/>
                <w:szCs w:val="21"/>
                <w:highlight w:val="none"/>
                <w:lang w:val="en-US" w:eastAsia="zh-CN"/>
              </w:rPr>
              <w:t>3</w:t>
            </w:r>
            <w:r>
              <w:rPr>
                <w:rFonts w:hint="eastAsia" w:ascii="宋体" w:hAnsi="宋体" w:eastAsia="宋体" w:cs="宋体"/>
                <w:sz w:val="21"/>
                <w:szCs w:val="21"/>
                <w:highlight w:val="none"/>
                <w:lang w:val="en-US" w:eastAsia="zh-CN"/>
              </w:rPr>
              <w:t>分，同时具有工程类中级及以上职称加2分，最多得</w:t>
            </w:r>
            <w:r>
              <w:rPr>
                <w:rFonts w:hint="eastAsia" w:cs="宋体"/>
                <w:sz w:val="21"/>
                <w:szCs w:val="21"/>
                <w:highlight w:val="none"/>
                <w:lang w:val="en-US" w:eastAsia="zh-CN"/>
              </w:rPr>
              <w:t>5</w:t>
            </w:r>
            <w:r>
              <w:rPr>
                <w:rFonts w:hint="eastAsia" w:ascii="宋体" w:hAnsi="宋体" w:eastAsia="宋体" w:cs="宋体"/>
                <w:sz w:val="21"/>
                <w:szCs w:val="21"/>
                <w:highlight w:val="none"/>
                <w:lang w:val="en-US" w:eastAsia="zh-CN"/>
              </w:rPr>
              <w:t>分。</w:t>
            </w:r>
          </w:p>
          <w:p w14:paraId="7DC6E920">
            <w:pPr>
              <w:pStyle w:val="47"/>
              <w:keepNext w:val="0"/>
              <w:keepLines w:val="0"/>
              <w:pageBreakBefore w:val="0"/>
              <w:widowControl w:val="0"/>
              <w:kinsoku/>
              <w:overflowPunct/>
              <w:autoSpaceDE/>
              <w:autoSpaceDN/>
              <w:bidi w:val="0"/>
              <w:adjustRightInd/>
              <w:snapToGrid/>
              <w:spacing w:line="360" w:lineRule="exact"/>
              <w:ind w:left="0" w:leftChars="0" w:firstLine="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5.项目组其他人员配置：具备全国注册造价工程师或一级造价工程师</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土木建筑专业</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1人得</w:t>
            </w:r>
            <w:r>
              <w:rPr>
                <w:rFonts w:hint="eastAsia" w:cs="宋体"/>
                <w:sz w:val="21"/>
                <w:szCs w:val="21"/>
                <w:highlight w:val="none"/>
                <w:lang w:val="en-US" w:eastAsia="zh-CN"/>
              </w:rPr>
              <w:t>3</w:t>
            </w:r>
            <w:r>
              <w:rPr>
                <w:rFonts w:hint="eastAsia" w:ascii="宋体" w:hAnsi="宋体" w:eastAsia="宋体" w:cs="宋体"/>
                <w:sz w:val="21"/>
                <w:szCs w:val="21"/>
                <w:highlight w:val="none"/>
                <w:lang w:val="en-US" w:eastAsia="zh-CN"/>
              </w:rPr>
              <w:t>分，最多得</w:t>
            </w:r>
            <w:r>
              <w:rPr>
                <w:rFonts w:hint="eastAsia" w:cs="宋体"/>
                <w:sz w:val="21"/>
                <w:szCs w:val="21"/>
                <w:highlight w:val="none"/>
                <w:lang w:val="en-US" w:eastAsia="zh-CN"/>
              </w:rPr>
              <w:t>6</w:t>
            </w:r>
            <w:r>
              <w:rPr>
                <w:rFonts w:hint="eastAsia" w:ascii="宋体" w:hAnsi="宋体" w:eastAsia="宋体" w:cs="宋体"/>
                <w:sz w:val="21"/>
                <w:szCs w:val="21"/>
                <w:highlight w:val="none"/>
                <w:lang w:val="en-US" w:eastAsia="zh-CN"/>
              </w:rPr>
              <w:t>分；具备全国注册造价工程师或一级造价工程师</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安装专业</w:t>
            </w:r>
            <w:r>
              <w:rPr>
                <w:rFonts w:hint="eastAsia" w:cs="宋体"/>
                <w:sz w:val="21"/>
                <w:szCs w:val="21"/>
                <w:highlight w:val="none"/>
                <w:lang w:val="en-US" w:eastAsia="zh-CN"/>
              </w:rPr>
              <w:t>)</w:t>
            </w:r>
            <w:r>
              <w:rPr>
                <w:rFonts w:hint="eastAsia" w:ascii="宋体" w:hAnsi="宋体" w:eastAsia="宋体" w:cs="宋体"/>
                <w:sz w:val="21"/>
                <w:szCs w:val="21"/>
                <w:highlight w:val="none"/>
                <w:lang w:val="en-US" w:eastAsia="zh-CN"/>
              </w:rPr>
              <w:t>1人得</w:t>
            </w:r>
            <w:r>
              <w:rPr>
                <w:rFonts w:hint="eastAsia" w:cs="宋体"/>
                <w:sz w:val="21"/>
                <w:szCs w:val="21"/>
                <w:highlight w:val="none"/>
                <w:lang w:val="en-US" w:eastAsia="zh-CN"/>
              </w:rPr>
              <w:t>3</w:t>
            </w:r>
            <w:r>
              <w:rPr>
                <w:rFonts w:hint="eastAsia" w:ascii="宋体" w:hAnsi="宋体" w:eastAsia="宋体" w:cs="宋体"/>
                <w:sz w:val="21"/>
                <w:szCs w:val="21"/>
                <w:highlight w:val="none"/>
                <w:lang w:val="en-US" w:eastAsia="zh-CN"/>
              </w:rPr>
              <w:t>分，最多得</w:t>
            </w:r>
            <w:r>
              <w:rPr>
                <w:rFonts w:hint="eastAsia" w:cs="宋体"/>
                <w:sz w:val="21"/>
                <w:szCs w:val="21"/>
                <w:highlight w:val="none"/>
                <w:lang w:val="en-US" w:eastAsia="zh-CN"/>
              </w:rPr>
              <w:t>6</w:t>
            </w:r>
            <w:r>
              <w:rPr>
                <w:rFonts w:hint="eastAsia" w:ascii="宋体" w:hAnsi="宋体" w:eastAsia="宋体" w:cs="宋体"/>
                <w:sz w:val="21"/>
                <w:szCs w:val="21"/>
                <w:highlight w:val="none"/>
                <w:lang w:val="en-US" w:eastAsia="zh-CN"/>
              </w:rPr>
              <w:t>分；本项最多得</w:t>
            </w:r>
            <w:r>
              <w:rPr>
                <w:rFonts w:hint="eastAsia" w:cs="宋体"/>
                <w:sz w:val="21"/>
                <w:szCs w:val="21"/>
                <w:highlight w:val="none"/>
                <w:lang w:val="en-US" w:eastAsia="zh-CN"/>
              </w:rPr>
              <w:t>12</w:t>
            </w:r>
            <w:r>
              <w:rPr>
                <w:rFonts w:hint="eastAsia" w:ascii="宋体" w:hAnsi="宋体" w:eastAsia="宋体" w:cs="宋体"/>
                <w:sz w:val="21"/>
                <w:szCs w:val="21"/>
                <w:highlight w:val="none"/>
                <w:lang w:val="en-US" w:eastAsia="zh-CN"/>
              </w:rPr>
              <w:t>分。</w:t>
            </w:r>
          </w:p>
          <w:p w14:paraId="4346C2AF">
            <w:pPr>
              <w:pStyle w:val="47"/>
              <w:keepNext w:val="0"/>
              <w:keepLines w:val="0"/>
              <w:pageBreakBefore w:val="0"/>
              <w:widowControl w:val="0"/>
              <w:kinsoku/>
              <w:overflowPunct/>
              <w:autoSpaceDE/>
              <w:autoSpaceDN/>
              <w:bidi w:val="0"/>
              <w:adjustRightInd/>
              <w:snapToGrid/>
              <w:spacing w:line="360" w:lineRule="exact"/>
              <w:ind w:left="0" w:leftChars="0" w:firstLine="0"/>
              <w:textAlignment w:val="auto"/>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lang w:val="en-US" w:eastAsia="zh-CN"/>
              </w:rPr>
              <w:t>注：①提供以上相关人员相关证书扫描件和在职证明材料并加盖供应商公章；未提供的不得分。②同一人员不重复得分。同一人员具有多个职称的，不重复计分，仅计算一个最高职称得分。项目负责人、项目技术负责人2人的全国注册造价工程师或一级造价工程师资质属于实质性要求，不参与评分。③注册证书中注册单位名称须与供应商名称一致且须附全国建筑市场监管公共服务平台(https://jzsc.mohurd.gov.cn /home)注册造价工程师信息查询截图，项目组人员注册证书中注册单位若与供应商单位不一致，不予认定得分。④工程类职称是指：如建筑工程或土木工程或结构工程或工程造价或工程管理。</w:t>
            </w:r>
          </w:p>
        </w:tc>
        <w:tc>
          <w:tcPr>
            <w:tcW w:w="387" w:type="pct"/>
            <w:vAlign w:val="center"/>
          </w:tcPr>
          <w:p w14:paraId="2D20BDE7">
            <w:pPr>
              <w:pStyle w:val="50"/>
              <w:keepNext w:val="0"/>
              <w:keepLines w:val="0"/>
              <w:pageBreakBefore w:val="0"/>
              <w:widowControl w:val="0"/>
              <w:kinsoku/>
              <w:overflowPunct/>
              <w:autoSpaceDE/>
              <w:autoSpaceDN/>
              <w:bidi w:val="0"/>
              <w:spacing w:line="360" w:lineRule="exact"/>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共同评分因素</w:t>
            </w:r>
          </w:p>
        </w:tc>
      </w:tr>
      <w:tr w14:paraId="356F8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2" w:type="pct"/>
            <w:vAlign w:val="center"/>
          </w:tcPr>
          <w:p w14:paraId="6B721E32">
            <w:pPr>
              <w:pStyle w:val="50"/>
              <w:keepNext w:val="0"/>
              <w:keepLines w:val="0"/>
              <w:pageBreakBefore w:val="0"/>
              <w:widowControl w:val="0"/>
              <w:kinsoku/>
              <w:overflowPunct/>
              <w:autoSpaceDE/>
              <w:autoSpaceDN/>
              <w:bidi w:val="0"/>
              <w:spacing w:line="360" w:lineRule="exact"/>
              <w:ind w:left="0" w:leftChars="0" w:firstLine="0"/>
              <w:textAlignment w:val="auto"/>
              <w:rPr>
                <w:rFonts w:hint="default" w:cs="宋体"/>
                <w:color w:val="000000"/>
                <w:sz w:val="21"/>
                <w:szCs w:val="21"/>
                <w:highlight w:val="none"/>
                <w:lang w:val="en-US" w:eastAsia="zh-CN"/>
              </w:rPr>
            </w:pPr>
            <w:r>
              <w:rPr>
                <w:rFonts w:hint="eastAsia" w:cs="宋体"/>
                <w:color w:val="000000"/>
                <w:sz w:val="21"/>
                <w:szCs w:val="21"/>
                <w:highlight w:val="none"/>
                <w:lang w:val="en-US" w:eastAsia="zh-CN"/>
              </w:rPr>
              <w:t>三</w:t>
            </w:r>
          </w:p>
        </w:tc>
        <w:tc>
          <w:tcPr>
            <w:tcW w:w="644" w:type="pct"/>
            <w:vAlign w:val="center"/>
          </w:tcPr>
          <w:p w14:paraId="439EA036">
            <w:pPr>
              <w:keepNext w:val="0"/>
              <w:keepLines w:val="0"/>
              <w:pageBreakBefore w:val="0"/>
              <w:widowControl w:val="0"/>
              <w:kinsoku/>
              <w:overflowPunct/>
              <w:autoSpaceDE/>
              <w:autoSpaceDN/>
              <w:bidi w:val="0"/>
              <w:spacing w:line="360" w:lineRule="exact"/>
              <w:ind w:left="0" w:leftChars="0" w:firstLine="0" w:firstLineChars="0"/>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lang w:val="en-US" w:eastAsia="zh-CN"/>
              </w:rPr>
              <w:t>履约经验</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30</w:t>
            </w:r>
            <w:r>
              <w:rPr>
                <w:rFonts w:hint="eastAsia" w:ascii="宋体" w:hAnsi="宋体" w:eastAsia="宋体" w:cs="宋体"/>
                <w:sz w:val="21"/>
                <w:szCs w:val="21"/>
              </w:rPr>
              <w:t>%</w:t>
            </w:r>
          </w:p>
        </w:tc>
        <w:tc>
          <w:tcPr>
            <w:tcW w:w="366" w:type="pct"/>
            <w:vAlign w:val="center"/>
          </w:tcPr>
          <w:p w14:paraId="267694C0">
            <w:pPr>
              <w:keepNext w:val="0"/>
              <w:keepLines w:val="0"/>
              <w:pageBreakBefore w:val="0"/>
              <w:widowControl w:val="0"/>
              <w:kinsoku/>
              <w:overflowPunct/>
              <w:autoSpaceDE/>
              <w:autoSpaceDN/>
              <w:bidi w:val="0"/>
              <w:spacing w:line="360" w:lineRule="exact"/>
              <w:ind w:left="0" w:leftChars="0" w:firstLine="0" w:firstLineChars="0"/>
              <w:jc w:val="center"/>
              <w:textAlignment w:val="auto"/>
              <w:rPr>
                <w:rFonts w:hint="eastAsia" w:cs="宋体"/>
                <w:sz w:val="21"/>
                <w:szCs w:val="21"/>
                <w:highlight w:val="none"/>
                <w:lang w:val="en-US" w:eastAsia="zh-CN"/>
              </w:rPr>
            </w:pPr>
            <w:r>
              <w:rPr>
                <w:rFonts w:hint="eastAsia" w:cs="宋体"/>
                <w:sz w:val="21"/>
                <w:szCs w:val="21"/>
                <w:highlight w:val="none"/>
                <w:lang w:val="en-US" w:eastAsia="zh-CN"/>
              </w:rPr>
              <w:t>30</w:t>
            </w:r>
            <w:r>
              <w:rPr>
                <w:rFonts w:hint="eastAsia" w:ascii="宋体" w:hAnsi="宋体" w:eastAsia="宋体" w:cs="宋体"/>
                <w:sz w:val="21"/>
                <w:szCs w:val="21"/>
                <w:highlight w:val="none"/>
              </w:rPr>
              <w:t>分</w:t>
            </w:r>
          </w:p>
        </w:tc>
        <w:tc>
          <w:tcPr>
            <w:tcW w:w="3320" w:type="pct"/>
            <w:vAlign w:val="center"/>
          </w:tcPr>
          <w:p w14:paraId="6A23DAA0">
            <w:pPr>
              <w:pStyle w:val="47"/>
              <w:keepNext w:val="0"/>
              <w:keepLines w:val="0"/>
              <w:pageBreakBefore w:val="0"/>
              <w:widowControl w:val="0"/>
              <w:tabs>
                <w:tab w:val="left" w:pos="364"/>
              </w:tabs>
              <w:kinsoku/>
              <w:overflowPunct/>
              <w:autoSpaceDE/>
              <w:autoSpaceDN/>
              <w:bidi w:val="0"/>
              <w:spacing w:line="360" w:lineRule="exact"/>
              <w:ind w:left="0" w:leftChars="0" w:firstLine="0" w:firstLineChars="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1.2023年1月1日(含)至投标截止时间止供应商每具备1个新建工程项目跟踪审计或全过程造价控制业绩得5分，最多得20分。</w:t>
            </w:r>
          </w:p>
          <w:p w14:paraId="3320A124">
            <w:pPr>
              <w:pStyle w:val="47"/>
              <w:keepNext w:val="0"/>
              <w:keepLines w:val="0"/>
              <w:pageBreakBefore w:val="0"/>
              <w:widowControl w:val="0"/>
              <w:tabs>
                <w:tab w:val="left" w:pos="364"/>
              </w:tabs>
              <w:kinsoku/>
              <w:overflowPunct/>
              <w:autoSpaceDE/>
              <w:autoSpaceDN/>
              <w:bidi w:val="0"/>
              <w:spacing w:line="360" w:lineRule="exact"/>
              <w:ind w:left="0" w:leftChars="0" w:firstLine="0" w:firstLineChars="0"/>
              <w:textAlignment w:val="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2.项目负责人业绩：2023年1月1日(含)至投标截止时间止项目负责人每具备1个新建工程项目跟踪审计或全过程造价控制得5分，最多得10分。</w:t>
            </w:r>
          </w:p>
          <w:p w14:paraId="4B1F8104">
            <w:pPr>
              <w:pStyle w:val="47"/>
              <w:keepNext w:val="0"/>
              <w:keepLines w:val="0"/>
              <w:pageBreakBefore w:val="0"/>
              <w:widowControl w:val="0"/>
              <w:tabs>
                <w:tab w:val="left" w:pos="364"/>
              </w:tabs>
              <w:kinsoku/>
              <w:overflowPunct/>
              <w:autoSpaceDE/>
              <w:autoSpaceDN/>
              <w:bidi w:val="0"/>
              <w:spacing w:line="360" w:lineRule="exact"/>
              <w:ind w:left="0" w:leftChars="0" w:firstLine="0" w:firstLineChars="0"/>
              <w:textAlignment w:val="auto"/>
              <w:rPr>
                <w:rFonts w:hint="eastAsia" w:ascii="宋体" w:hAnsi="宋体" w:eastAsia="宋体" w:cs="宋体"/>
                <w:b/>
                <w:bCs/>
                <w:color w:val="000000"/>
                <w:sz w:val="21"/>
                <w:szCs w:val="21"/>
                <w:highlight w:val="none"/>
                <w:lang w:eastAsia="zh-CN"/>
              </w:rPr>
            </w:pPr>
            <w:r>
              <w:rPr>
                <w:rFonts w:hint="eastAsia" w:ascii="宋体" w:hAnsi="宋体" w:eastAsia="宋体" w:cs="宋体"/>
                <w:b/>
                <w:bCs/>
                <w:sz w:val="21"/>
                <w:szCs w:val="21"/>
                <w:highlight w:val="none"/>
                <w:lang w:val="en-US" w:eastAsia="zh-CN"/>
              </w:rPr>
              <w:t>注：①提供合同扫描件。②提供项目负责人业绩的证明材料：合同扫描件，合同正文中需明确项目负责人。③业绩时间以合同签订时间为准。④同一项目不能重复计分。</w:t>
            </w:r>
          </w:p>
        </w:tc>
        <w:tc>
          <w:tcPr>
            <w:tcW w:w="387" w:type="pct"/>
            <w:vAlign w:val="center"/>
          </w:tcPr>
          <w:p w14:paraId="0ED11DB4">
            <w:pPr>
              <w:pStyle w:val="50"/>
              <w:keepNext w:val="0"/>
              <w:keepLines w:val="0"/>
              <w:pageBreakBefore w:val="0"/>
              <w:widowControl w:val="0"/>
              <w:kinsoku/>
              <w:overflowPunct/>
              <w:autoSpaceDE/>
              <w:autoSpaceDN/>
              <w:bidi w:val="0"/>
              <w:spacing w:line="360" w:lineRule="exact"/>
              <w:ind w:left="0" w:leftChars="0" w:firstLine="0" w:firstLineChars="0"/>
              <w:textAlignment w:val="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共同评分因素</w:t>
            </w:r>
          </w:p>
        </w:tc>
      </w:tr>
      <w:tr w14:paraId="3E85A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282" w:type="pct"/>
            <w:vAlign w:val="center"/>
          </w:tcPr>
          <w:p w14:paraId="12949E37">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sz w:val="21"/>
                <w:szCs w:val="21"/>
                <w:highlight w:val="none"/>
                <w:lang w:eastAsia="zh-CN"/>
              </w:rPr>
            </w:pPr>
            <w:r>
              <w:rPr>
                <w:rFonts w:hint="eastAsia" w:cs="宋体"/>
                <w:color w:val="000000"/>
                <w:sz w:val="21"/>
                <w:szCs w:val="21"/>
                <w:highlight w:val="none"/>
                <w:lang w:val="en-US" w:eastAsia="zh-CN"/>
              </w:rPr>
              <w:t>四</w:t>
            </w:r>
          </w:p>
        </w:tc>
        <w:tc>
          <w:tcPr>
            <w:tcW w:w="644" w:type="pct"/>
            <w:vAlign w:val="center"/>
          </w:tcPr>
          <w:p w14:paraId="412ABDA3">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sz w:val="21"/>
                <w:szCs w:val="21"/>
                <w:highlight w:val="none"/>
              </w:rPr>
            </w:pPr>
            <w:r>
              <w:rPr>
                <w:rFonts w:hint="eastAsia" w:cs="宋体"/>
                <w:sz w:val="21"/>
                <w:szCs w:val="21"/>
                <w:highlight w:val="none"/>
                <w:lang w:val="en-US" w:eastAsia="zh-CN"/>
              </w:rPr>
              <w:t>实施</w:t>
            </w:r>
            <w:r>
              <w:rPr>
                <w:rFonts w:hint="eastAsia" w:ascii="宋体" w:hAnsi="宋体" w:eastAsia="宋体" w:cs="宋体"/>
                <w:sz w:val="21"/>
                <w:szCs w:val="21"/>
                <w:highlight w:val="none"/>
              </w:rPr>
              <w:t>方案</w:t>
            </w:r>
            <w:r>
              <w:rPr>
                <w:rFonts w:hint="eastAsia" w:cs="宋体"/>
                <w:sz w:val="21"/>
                <w:szCs w:val="21"/>
                <w:highlight w:val="none"/>
                <w:lang w:val="en-US" w:eastAsia="zh-CN"/>
              </w:rPr>
              <w:t>30</w:t>
            </w:r>
            <w:r>
              <w:rPr>
                <w:rFonts w:hint="eastAsia" w:ascii="宋体" w:hAnsi="宋体" w:eastAsia="宋体" w:cs="宋体"/>
                <w:sz w:val="21"/>
                <w:szCs w:val="21"/>
                <w:highlight w:val="none"/>
              </w:rPr>
              <w:t>%</w:t>
            </w:r>
          </w:p>
        </w:tc>
        <w:tc>
          <w:tcPr>
            <w:tcW w:w="366" w:type="pct"/>
            <w:vAlign w:val="center"/>
          </w:tcPr>
          <w:p w14:paraId="639CB410">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sz w:val="21"/>
                <w:szCs w:val="21"/>
                <w:highlight w:val="none"/>
              </w:rPr>
            </w:pPr>
            <w:r>
              <w:rPr>
                <w:rFonts w:hint="eastAsia" w:cs="宋体"/>
                <w:sz w:val="21"/>
                <w:szCs w:val="21"/>
                <w:highlight w:val="none"/>
                <w:lang w:val="en-US" w:eastAsia="zh-CN"/>
              </w:rPr>
              <w:t>30</w:t>
            </w:r>
            <w:r>
              <w:rPr>
                <w:rFonts w:hint="eastAsia" w:ascii="宋体" w:hAnsi="宋体" w:eastAsia="宋体" w:cs="宋体"/>
                <w:sz w:val="21"/>
                <w:szCs w:val="21"/>
                <w:highlight w:val="none"/>
              </w:rPr>
              <w:t>分</w:t>
            </w:r>
          </w:p>
        </w:tc>
        <w:tc>
          <w:tcPr>
            <w:tcW w:w="3320" w:type="pct"/>
            <w:vAlign w:val="center"/>
          </w:tcPr>
          <w:p w14:paraId="6C392E36">
            <w:pPr>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根据</w:t>
            </w:r>
            <w:r>
              <w:rPr>
                <w:rFonts w:hint="eastAsia" w:cs="宋体"/>
                <w:b w:val="0"/>
                <w:bCs w:val="0"/>
                <w:color w:val="000000"/>
                <w:sz w:val="21"/>
                <w:szCs w:val="21"/>
                <w:highlight w:val="none"/>
                <w:lang w:val="en-US" w:eastAsia="zh-CN"/>
              </w:rPr>
              <w:t>供应商</w:t>
            </w:r>
            <w:r>
              <w:rPr>
                <w:rFonts w:hint="eastAsia" w:ascii="宋体" w:hAnsi="宋体" w:eastAsia="宋体" w:cs="宋体"/>
                <w:b w:val="0"/>
                <w:bCs w:val="0"/>
                <w:color w:val="000000"/>
                <w:sz w:val="21"/>
                <w:szCs w:val="21"/>
                <w:highlight w:val="none"/>
                <w:lang w:eastAsia="zh-CN"/>
              </w:rPr>
              <w:t>拟定的实施方案综合评审，包括：①审计目标</w:t>
            </w:r>
            <w:r>
              <w:rPr>
                <w:rFonts w:hint="eastAsia" w:ascii="宋体" w:hAnsi="宋体" w:eastAsia="宋体" w:cs="宋体"/>
                <w:b w:val="0"/>
                <w:bCs w:val="0"/>
                <w:color w:val="000000"/>
                <w:sz w:val="21"/>
                <w:szCs w:val="21"/>
                <w:highlight w:val="none"/>
                <w:lang w:val="en-US" w:eastAsia="zh-CN"/>
              </w:rPr>
              <w:t>及</w:t>
            </w:r>
            <w:r>
              <w:rPr>
                <w:rFonts w:hint="eastAsia" w:ascii="宋体" w:hAnsi="宋体" w:eastAsia="宋体" w:cs="宋体"/>
                <w:b w:val="0"/>
                <w:bCs w:val="0"/>
                <w:color w:val="000000"/>
                <w:sz w:val="21"/>
                <w:szCs w:val="21"/>
                <w:highlight w:val="none"/>
                <w:lang w:eastAsia="zh-CN"/>
              </w:rPr>
              <w:t>审计范围；②审计内容及重点；③审计方法及工作步骤；④项目组构成及人员分工；⑤审计质量控制措施；⑥审计进度控制措施、审计服务承诺及后续服务方案</w:t>
            </w:r>
            <w:r>
              <w:rPr>
                <w:rFonts w:hint="eastAsia" w:cs="宋体"/>
                <w:b w:val="0"/>
                <w:bCs w:val="0"/>
                <w:color w:val="000000"/>
                <w:sz w:val="21"/>
                <w:szCs w:val="21"/>
                <w:highlight w:val="none"/>
                <w:lang w:val="en-US" w:eastAsia="zh-CN"/>
              </w:rPr>
              <w:t>六</w:t>
            </w:r>
            <w:r>
              <w:rPr>
                <w:rFonts w:hint="eastAsia" w:ascii="宋体" w:hAnsi="宋体" w:eastAsia="宋体" w:cs="宋体"/>
                <w:b w:val="0"/>
                <w:bCs w:val="0"/>
                <w:color w:val="000000"/>
                <w:sz w:val="21"/>
                <w:szCs w:val="21"/>
                <w:highlight w:val="none"/>
                <w:lang w:eastAsia="zh-CN"/>
              </w:rPr>
              <w:t>个方面的内容。</w:t>
            </w:r>
          </w:p>
          <w:p w14:paraId="1959323F">
            <w:pPr>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lang w:eastAsia="zh-CN"/>
              </w:rPr>
              <w:t>根据</w:t>
            </w:r>
            <w:r>
              <w:rPr>
                <w:rFonts w:hint="eastAsia" w:cs="宋体"/>
                <w:b w:val="0"/>
                <w:bCs w:val="0"/>
                <w:color w:val="000000"/>
                <w:sz w:val="21"/>
                <w:szCs w:val="21"/>
                <w:highlight w:val="none"/>
                <w:lang w:val="en-US" w:eastAsia="zh-CN"/>
              </w:rPr>
              <w:t>供应商</w:t>
            </w:r>
            <w:r>
              <w:rPr>
                <w:rFonts w:hint="eastAsia" w:ascii="宋体" w:hAnsi="宋体" w:eastAsia="宋体" w:cs="宋体"/>
                <w:b w:val="0"/>
                <w:bCs w:val="0"/>
                <w:color w:val="000000"/>
                <w:sz w:val="21"/>
                <w:szCs w:val="21"/>
                <w:highlight w:val="none"/>
                <w:lang w:eastAsia="zh-CN"/>
              </w:rPr>
              <w:t>针对上述</w:t>
            </w:r>
            <w:r>
              <w:rPr>
                <w:rFonts w:hint="eastAsia" w:cs="宋体"/>
                <w:b w:val="0"/>
                <w:bCs w:val="0"/>
                <w:color w:val="000000"/>
                <w:sz w:val="21"/>
                <w:szCs w:val="21"/>
                <w:highlight w:val="none"/>
                <w:lang w:val="en-US" w:eastAsia="zh-CN"/>
              </w:rPr>
              <w:t>六</w:t>
            </w:r>
            <w:r>
              <w:rPr>
                <w:rFonts w:hint="eastAsia" w:ascii="宋体" w:hAnsi="宋体" w:eastAsia="宋体" w:cs="宋体"/>
                <w:b w:val="0"/>
                <w:bCs w:val="0"/>
                <w:color w:val="000000"/>
                <w:sz w:val="21"/>
                <w:szCs w:val="21"/>
                <w:highlight w:val="none"/>
                <w:lang w:eastAsia="zh-CN"/>
              </w:rPr>
              <w:t>个方面内容在投标文件中的响应情况进行综合评审：其中每有一方面内容满足要求的得5分，该方面中每有一处存在不足的扣2.5分，最多扣5分；每有一方面内容缺失或不满足要求的该方面内容不得分；本项最多得</w:t>
            </w:r>
            <w:r>
              <w:rPr>
                <w:rFonts w:hint="eastAsia" w:cs="宋体"/>
                <w:b w:val="0"/>
                <w:bCs w:val="0"/>
                <w:color w:val="000000"/>
                <w:sz w:val="21"/>
                <w:szCs w:val="21"/>
                <w:highlight w:val="none"/>
                <w:lang w:val="en-US" w:eastAsia="zh-CN"/>
              </w:rPr>
              <w:t>3</w:t>
            </w:r>
            <w:r>
              <w:rPr>
                <w:rFonts w:hint="eastAsia" w:ascii="宋体" w:hAnsi="宋体" w:eastAsia="宋体" w:cs="宋体"/>
                <w:b w:val="0"/>
                <w:bCs w:val="0"/>
                <w:color w:val="000000"/>
                <w:sz w:val="21"/>
                <w:szCs w:val="21"/>
                <w:highlight w:val="none"/>
                <w:lang w:eastAsia="zh-CN"/>
              </w:rPr>
              <w:t>0分。</w:t>
            </w:r>
          </w:p>
          <w:p w14:paraId="11058A7E">
            <w:pPr>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t>注：(1)以上内容满足要求是指①内容与</w:t>
            </w:r>
            <w:r>
              <w:rPr>
                <w:rFonts w:hint="eastAsia" w:ascii="宋体" w:hAnsi="宋体" w:eastAsia="宋体" w:cs="宋体"/>
                <w:b/>
                <w:bCs/>
                <w:color w:val="000000"/>
                <w:sz w:val="21"/>
                <w:szCs w:val="21"/>
                <w:highlight w:val="none"/>
                <w:lang w:val="en-US" w:eastAsia="zh-CN"/>
              </w:rPr>
              <w:t>本</w:t>
            </w:r>
            <w:r>
              <w:rPr>
                <w:rFonts w:hint="eastAsia" w:ascii="宋体" w:hAnsi="宋体" w:eastAsia="宋体" w:cs="宋体"/>
                <w:b/>
                <w:bCs/>
                <w:color w:val="000000"/>
                <w:sz w:val="21"/>
                <w:szCs w:val="21"/>
                <w:highlight w:val="none"/>
                <w:lang w:eastAsia="zh-CN"/>
              </w:rPr>
              <w:t>项目技术服务需求吻合，有具体详细的阐述；②分析从</w:t>
            </w:r>
            <w:r>
              <w:rPr>
                <w:rFonts w:hint="eastAsia" w:ascii="宋体" w:hAnsi="宋体" w:eastAsia="宋体" w:cs="宋体"/>
                <w:b/>
                <w:bCs/>
                <w:color w:val="000000"/>
                <w:sz w:val="21"/>
                <w:szCs w:val="21"/>
                <w:highlight w:val="none"/>
                <w:lang w:val="en-US" w:eastAsia="zh-CN"/>
              </w:rPr>
              <w:t>本项目</w:t>
            </w:r>
            <w:r>
              <w:rPr>
                <w:rFonts w:hint="eastAsia" w:ascii="宋体" w:hAnsi="宋体" w:eastAsia="宋体" w:cs="宋体"/>
                <w:b/>
                <w:bCs/>
                <w:color w:val="000000"/>
                <w:sz w:val="21"/>
                <w:szCs w:val="21"/>
                <w:highlight w:val="none"/>
                <w:lang w:eastAsia="zh-CN"/>
              </w:rPr>
              <w:t>实际出发，切合项目背景、项目需求以及</w:t>
            </w:r>
            <w:r>
              <w:rPr>
                <w:rFonts w:hint="eastAsia" w:ascii="宋体" w:hAnsi="宋体" w:eastAsia="宋体" w:cs="宋体"/>
                <w:b/>
                <w:bCs/>
                <w:color w:val="000000"/>
                <w:sz w:val="21"/>
                <w:szCs w:val="21"/>
                <w:highlight w:val="none"/>
                <w:lang w:val="en-US" w:eastAsia="zh-CN"/>
              </w:rPr>
              <w:t>跟踪审计要求</w:t>
            </w:r>
            <w:r>
              <w:rPr>
                <w:rFonts w:hint="eastAsia" w:ascii="宋体" w:hAnsi="宋体" w:eastAsia="宋体" w:cs="宋体"/>
                <w:b/>
                <w:bCs/>
                <w:color w:val="000000"/>
                <w:sz w:val="21"/>
                <w:szCs w:val="21"/>
                <w:highlight w:val="none"/>
                <w:lang w:eastAsia="zh-CN"/>
              </w:rPr>
              <w:t>提出建议或者措施；③内容清楚明了、表述规范、含义准确。</w:t>
            </w:r>
          </w:p>
          <w:p w14:paraId="494F5B7B">
            <w:pPr>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eastAsia="zh-CN"/>
              </w:rPr>
              <w:t>(2)存在不足是指①内容生搬硬造，</w:t>
            </w:r>
            <w:r>
              <w:rPr>
                <w:rFonts w:hint="eastAsia" w:ascii="宋体" w:hAnsi="宋体" w:eastAsia="宋体" w:cs="宋体"/>
                <w:b/>
                <w:bCs/>
                <w:color w:val="000000"/>
                <w:sz w:val="21"/>
                <w:szCs w:val="21"/>
                <w:highlight w:val="none"/>
                <w:lang w:val="en-US" w:eastAsia="zh-CN"/>
              </w:rPr>
              <w:t>仅复制采购文件内容，</w:t>
            </w:r>
            <w:r>
              <w:rPr>
                <w:rFonts w:hint="eastAsia" w:ascii="宋体" w:hAnsi="宋体" w:eastAsia="宋体" w:cs="宋体"/>
                <w:b/>
                <w:bCs/>
                <w:color w:val="000000"/>
                <w:sz w:val="21"/>
                <w:szCs w:val="21"/>
                <w:highlight w:val="none"/>
                <w:lang w:eastAsia="zh-CN"/>
              </w:rPr>
              <w:t>阐述存在逻辑错误，前后冲突；②涉及内容无重点，未能体现出本项目的特点或与实际需求不匹配；③项目名称、实施地点、政策、规范标准与本项目冲突等情形。</w:t>
            </w:r>
          </w:p>
        </w:tc>
        <w:tc>
          <w:tcPr>
            <w:tcW w:w="387" w:type="pct"/>
            <w:vAlign w:val="center"/>
          </w:tcPr>
          <w:p w14:paraId="57E7C60B">
            <w:pPr>
              <w:pStyle w:val="50"/>
              <w:keepNext w:val="0"/>
              <w:keepLines w:val="0"/>
              <w:pageBreakBefore w:val="0"/>
              <w:widowControl w:val="0"/>
              <w:kinsoku/>
              <w:overflowPunct/>
              <w:autoSpaceDE/>
              <w:autoSpaceDN/>
              <w:bidi w:val="0"/>
              <w:spacing w:line="360" w:lineRule="exact"/>
              <w:ind w:left="0" w:leftChars="0" w:firstLine="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技术类评分因素</w:t>
            </w:r>
          </w:p>
        </w:tc>
      </w:tr>
      <w:tr w14:paraId="2A92F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5000" w:type="pct"/>
            <w:gridSpan w:val="5"/>
            <w:vAlign w:val="center"/>
          </w:tcPr>
          <w:p w14:paraId="5ECC7937">
            <w:pPr>
              <w:pStyle w:val="50"/>
              <w:keepNext w:val="0"/>
              <w:keepLines w:val="0"/>
              <w:pageBreakBefore w:val="0"/>
              <w:widowControl w:val="0"/>
              <w:kinsoku/>
              <w:overflowPunct/>
              <w:autoSpaceDE/>
              <w:autoSpaceDN/>
              <w:bidi w:val="0"/>
              <w:adjustRightInd/>
              <w:snapToGrid/>
              <w:spacing w:line="360" w:lineRule="exact"/>
              <w:ind w:left="0" w:leftChars="0" w:firstLine="0"/>
              <w:jc w:val="both"/>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注：①上述各项评分的取值按四舍五入法，小数点后保留两位；②所有评分项证明材料均需加盖供应商签章，否则该项分值不予认定。</w:t>
            </w:r>
          </w:p>
        </w:tc>
      </w:tr>
    </w:tbl>
    <w:p w14:paraId="0B6765BB">
      <w:pPr>
        <w:pStyle w:val="5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bookmarkStart w:id="568" w:name="_Toc7651"/>
      <w:bookmarkStart w:id="569" w:name="_Toc26118"/>
      <w:bookmarkStart w:id="570" w:name="_Toc10537"/>
      <w:bookmarkStart w:id="571" w:name="_Toc8317"/>
      <w:r>
        <w:rPr>
          <w:rFonts w:hint="eastAsia"/>
          <w:lang w:val="en-US" w:eastAsia="zh-CN"/>
        </w:rPr>
        <w:t>复核</w:t>
      </w:r>
      <w:bookmarkEnd w:id="568"/>
      <w:bookmarkEnd w:id="569"/>
      <w:bookmarkEnd w:id="570"/>
      <w:bookmarkEnd w:id="571"/>
    </w:p>
    <w:p w14:paraId="16F39481">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评审结果汇总完成后，评审委员会拟出具评审报告前，采购组织单位应当组织2名以上的本单位工作人员，在采购现场监督人员的监督之下，依据有关的法律制度和磋商文件对评审结果进行复核，出具复核报告。</w:t>
      </w:r>
      <w:r>
        <w:rPr>
          <w:rFonts w:hint="eastAsia"/>
        </w:rPr>
        <w:t>存在下列情形之一的，应当根据情况要求</w:t>
      </w:r>
      <w:r>
        <w:rPr>
          <w:rFonts w:hint="eastAsia"/>
          <w:lang w:val="en-US" w:eastAsia="zh-CN"/>
        </w:rPr>
        <w:t>磋商小组</w:t>
      </w:r>
      <w:r>
        <w:rPr>
          <w:rFonts w:hint="eastAsia"/>
        </w:rPr>
        <w:t>现场修改</w:t>
      </w:r>
      <w:r>
        <w:rPr>
          <w:rFonts w:hint="eastAsia"/>
          <w:lang w:val="en-US" w:eastAsia="zh-CN"/>
        </w:rPr>
        <w:t>磋商</w:t>
      </w:r>
      <w:r>
        <w:rPr>
          <w:rFonts w:hint="eastAsia"/>
        </w:rPr>
        <w:t>结果或者重新</w:t>
      </w:r>
      <w:r>
        <w:rPr>
          <w:rFonts w:hint="eastAsia"/>
          <w:lang w:val="en-US" w:eastAsia="zh-CN"/>
        </w:rPr>
        <w:t>评审</w:t>
      </w:r>
      <w:r>
        <w:rPr>
          <w:rFonts w:hint="eastAsia"/>
        </w:rPr>
        <w:t>：</w:t>
      </w:r>
    </w:p>
    <w:p w14:paraId="2B892838">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lang w:val="en-US" w:eastAsia="zh-CN"/>
        </w:rPr>
        <w:t>资格性审查认定错误的；</w:t>
      </w:r>
    </w:p>
    <w:p w14:paraId="6A8F5DCA">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lang w:val="en-US" w:eastAsia="zh-CN"/>
        </w:rPr>
        <w:t>分值汇总计算错误的；</w:t>
      </w:r>
    </w:p>
    <w:p w14:paraId="03DF6DB6">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lang w:val="en-US" w:eastAsia="zh-CN"/>
        </w:rPr>
        <w:t>分项评分超出评分标准范围的；</w:t>
      </w:r>
    </w:p>
    <w:p w14:paraId="65685D14">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客观评分不一致的；</w:t>
      </w:r>
    </w:p>
    <w:p w14:paraId="6346D985">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lang w:val="en-US" w:eastAsia="zh-CN"/>
        </w:rPr>
        <w:t>经磋商小组一致认定评分畸高、畸低的。</w:t>
      </w:r>
    </w:p>
    <w:p w14:paraId="0C476618">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采购代理机构</w:t>
      </w:r>
      <w:r>
        <w:rPr>
          <w:rFonts w:hint="eastAsia"/>
        </w:rPr>
        <w:t>复核过程中，</w:t>
      </w:r>
      <w:r>
        <w:rPr>
          <w:rFonts w:hint="eastAsia"/>
          <w:lang w:eastAsia="zh-CN"/>
        </w:rPr>
        <w:t>磋商小组</w:t>
      </w:r>
      <w:r>
        <w:rPr>
          <w:rFonts w:hint="eastAsia"/>
        </w:rPr>
        <w:t>不得离开</w:t>
      </w:r>
      <w:r>
        <w:rPr>
          <w:rFonts w:hint="eastAsia"/>
          <w:lang w:val="en-US" w:eastAsia="zh-CN"/>
        </w:rPr>
        <w:t>评审</w:t>
      </w:r>
      <w:r>
        <w:rPr>
          <w:rFonts w:hint="eastAsia"/>
        </w:rPr>
        <w:t>现场。</w:t>
      </w:r>
    </w:p>
    <w:p w14:paraId="14B7528E">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存在本条上述规定情形的，由</w:t>
      </w:r>
      <w:r>
        <w:rPr>
          <w:rFonts w:hint="eastAsia"/>
          <w:lang w:eastAsia="zh-CN"/>
        </w:rPr>
        <w:t>磋商小组</w:t>
      </w:r>
      <w:r>
        <w:rPr>
          <w:rFonts w:hint="eastAsia"/>
        </w:rPr>
        <w:t>自主决定是否采纳</w:t>
      </w:r>
      <w:r>
        <w:rPr>
          <w:rFonts w:hint="eastAsia"/>
          <w:lang w:val="en-US" w:eastAsia="zh-CN"/>
        </w:rPr>
        <w:t>采购代理机构</w:t>
      </w:r>
      <w:r>
        <w:rPr>
          <w:rFonts w:hint="eastAsia"/>
        </w:rPr>
        <w:t>的书面建议，并承担独立评审责任。</w:t>
      </w:r>
      <w:r>
        <w:rPr>
          <w:rFonts w:hint="eastAsia"/>
          <w:lang w:eastAsia="zh-CN"/>
        </w:rPr>
        <w:t>磋商小组</w:t>
      </w:r>
      <w:r>
        <w:rPr>
          <w:rFonts w:hint="eastAsia"/>
        </w:rPr>
        <w:t>采纳</w:t>
      </w:r>
      <w:r>
        <w:rPr>
          <w:rFonts w:hint="eastAsia"/>
          <w:lang w:val="en-US" w:eastAsia="zh-CN"/>
        </w:rPr>
        <w:t>采购代理机构</w:t>
      </w:r>
      <w:r>
        <w:rPr>
          <w:rFonts w:hint="eastAsia"/>
        </w:rPr>
        <w:t>书面建议的，应当按照规定现场修改</w:t>
      </w:r>
      <w:r>
        <w:rPr>
          <w:rFonts w:hint="eastAsia"/>
          <w:lang w:eastAsia="zh-CN"/>
        </w:rPr>
        <w:t>磋商结果</w:t>
      </w:r>
      <w:r>
        <w:rPr>
          <w:rFonts w:hint="eastAsia"/>
        </w:rPr>
        <w:t>或者重新</w:t>
      </w:r>
      <w:r>
        <w:rPr>
          <w:rFonts w:hint="eastAsia"/>
          <w:lang w:val="en-US" w:eastAsia="zh-CN"/>
        </w:rPr>
        <w:t>评审</w:t>
      </w:r>
      <w:r>
        <w:rPr>
          <w:rFonts w:hint="eastAsia"/>
        </w:rPr>
        <w:t>，并在</w:t>
      </w:r>
      <w:r>
        <w:rPr>
          <w:rFonts w:hint="eastAsia"/>
          <w:lang w:eastAsia="zh-CN"/>
        </w:rPr>
        <w:t>评审报告</w:t>
      </w:r>
      <w:r>
        <w:rPr>
          <w:rFonts w:hint="eastAsia"/>
        </w:rPr>
        <w:t>中详细记载有关事宜；不采纳</w:t>
      </w:r>
      <w:r>
        <w:rPr>
          <w:rFonts w:hint="eastAsia"/>
          <w:lang w:val="en-US" w:eastAsia="zh-CN"/>
        </w:rPr>
        <w:t>采购代理机构</w:t>
      </w:r>
      <w:r>
        <w:rPr>
          <w:rFonts w:hint="eastAsia"/>
        </w:rPr>
        <w:t>书面建议的，应当书面说明理由。</w:t>
      </w:r>
      <w:r>
        <w:rPr>
          <w:rFonts w:hint="eastAsia"/>
          <w:lang w:val="en-US" w:eastAsia="zh-CN"/>
        </w:rPr>
        <w:t>采购代理机构</w:t>
      </w:r>
      <w:r>
        <w:rPr>
          <w:rFonts w:hint="eastAsia"/>
        </w:rPr>
        <w:t>书面建议未被</w:t>
      </w:r>
      <w:r>
        <w:rPr>
          <w:rFonts w:hint="eastAsia"/>
          <w:lang w:eastAsia="zh-CN"/>
        </w:rPr>
        <w:t>磋商小组</w:t>
      </w:r>
      <w:r>
        <w:rPr>
          <w:rFonts w:hint="eastAsia"/>
        </w:rPr>
        <w:t>采纳的，应当按照规定程序要求继续组织实施采购活动，不得擅自中止采购活动。</w:t>
      </w:r>
    </w:p>
    <w:p w14:paraId="3FA1A946">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有下列情形之一的，不得修改</w:t>
      </w:r>
      <w:r>
        <w:rPr>
          <w:rFonts w:hint="eastAsia"/>
          <w:lang w:eastAsia="zh-CN"/>
        </w:rPr>
        <w:t>磋商结果</w:t>
      </w:r>
      <w:r>
        <w:rPr>
          <w:rFonts w:hint="eastAsia"/>
        </w:rPr>
        <w:t>或者重新评</w:t>
      </w:r>
      <w:r>
        <w:rPr>
          <w:rFonts w:hint="eastAsia"/>
          <w:lang w:val="en-US" w:eastAsia="zh-CN"/>
        </w:rPr>
        <w:t>审</w:t>
      </w:r>
      <w:r>
        <w:rPr>
          <w:rFonts w:hint="eastAsia"/>
        </w:rPr>
        <w:t>：</w:t>
      </w:r>
    </w:p>
    <w:p w14:paraId="595B869D">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eastAsia="zh-CN"/>
        </w:rPr>
        <w:t>磋商小组</w:t>
      </w:r>
      <w:r>
        <w:rPr>
          <w:rFonts w:hint="eastAsia"/>
        </w:rPr>
        <w:t>已经出具</w:t>
      </w:r>
      <w:r>
        <w:rPr>
          <w:rFonts w:hint="eastAsia"/>
          <w:lang w:eastAsia="zh-CN"/>
        </w:rPr>
        <w:t>评审报告</w:t>
      </w:r>
      <w:r>
        <w:rPr>
          <w:rFonts w:hint="eastAsia"/>
        </w:rPr>
        <w:t>并且离开</w:t>
      </w:r>
      <w:r>
        <w:rPr>
          <w:rFonts w:hint="eastAsia"/>
          <w:lang w:val="en-US" w:eastAsia="zh-CN"/>
        </w:rPr>
        <w:t>评审</w:t>
      </w:r>
      <w:r>
        <w:rPr>
          <w:rFonts w:hint="eastAsia"/>
        </w:rPr>
        <w:t>现场的；</w:t>
      </w:r>
    </w:p>
    <w:p w14:paraId="0D32E725">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采购代理机构</w:t>
      </w:r>
      <w:r>
        <w:rPr>
          <w:rFonts w:hint="eastAsia"/>
        </w:rPr>
        <w:t>现场复核时，复核工作人员数量不足的；</w:t>
      </w:r>
    </w:p>
    <w:p w14:paraId="380F0607">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采购代理机构</w:t>
      </w:r>
      <w:r>
        <w:rPr>
          <w:rFonts w:hint="eastAsia"/>
        </w:rPr>
        <w:t>现场复核时，没有采购监督人员现场监督的；</w:t>
      </w:r>
    </w:p>
    <w:p w14:paraId="0D666C58">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采购代理机构</w:t>
      </w:r>
      <w:r>
        <w:rPr>
          <w:rFonts w:hint="eastAsia"/>
        </w:rPr>
        <w:t>现场复核内容超出规定范围的；</w:t>
      </w:r>
    </w:p>
    <w:p w14:paraId="6F699093">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采购代理机构</w:t>
      </w:r>
      <w:r>
        <w:rPr>
          <w:rFonts w:hint="eastAsia"/>
        </w:rPr>
        <w:t>未提供书面建议的。</w:t>
      </w:r>
    </w:p>
    <w:p w14:paraId="034F5F9C">
      <w:pPr>
        <w:pStyle w:val="55"/>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bookmarkStart w:id="572" w:name="_Toc18730"/>
      <w:bookmarkStart w:id="573" w:name="_Toc32166"/>
      <w:bookmarkStart w:id="574" w:name="_Toc6026"/>
      <w:bookmarkStart w:id="575" w:name="_Toc4617"/>
      <w:r>
        <w:rPr>
          <w:rFonts w:hint="eastAsia"/>
          <w:lang w:val="en-US" w:eastAsia="zh-CN"/>
        </w:rPr>
        <w:t>评审报告</w:t>
      </w:r>
      <w:bookmarkEnd w:id="572"/>
      <w:bookmarkEnd w:id="573"/>
      <w:bookmarkEnd w:id="574"/>
      <w:bookmarkEnd w:id="575"/>
    </w:p>
    <w:p w14:paraId="39E0F8D5">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磋商小组应当根据综合评分情况，按照评审得分由高到低顺序推荐3名以上成交候选供应商，并编写评审报告。评审得分相同的，按照最后报价由低到高的顺序推荐成交候选供应商。评审得分且最后报价相同的，按照技术指标优劣顺序推荐成交候选供应商</w:t>
      </w:r>
      <w:r>
        <w:rPr>
          <w:rFonts w:hint="eastAsia"/>
        </w:rPr>
        <w:t>。</w:t>
      </w:r>
      <w:r>
        <w:rPr>
          <w:rFonts w:hint="eastAsia"/>
          <w:lang w:val="en-US" w:eastAsia="zh-CN"/>
        </w:rPr>
        <w:t>评审得分且最后报价相同的，按照技术指标优劣顺序得分均相同，</w:t>
      </w:r>
      <w:r>
        <w:rPr>
          <w:rFonts w:hint="eastAsia"/>
        </w:rPr>
        <w:t>由采购人自主采取公平、择优的方式选择</w:t>
      </w:r>
      <w:r>
        <w:rPr>
          <w:rFonts w:hint="eastAsia"/>
          <w:lang w:val="en-US" w:eastAsia="zh-CN"/>
        </w:rPr>
        <w:t>成交候选</w:t>
      </w:r>
      <w:r>
        <w:rPr>
          <w:rFonts w:hint="eastAsia"/>
        </w:rPr>
        <w:t>供应商。</w:t>
      </w:r>
    </w:p>
    <w:p w14:paraId="5367C4B0">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出具</w:t>
      </w:r>
      <w:r>
        <w:rPr>
          <w:rFonts w:hint="eastAsia"/>
          <w:lang w:eastAsia="zh-CN"/>
        </w:rPr>
        <w:t>评审报告</w:t>
      </w:r>
      <w:r>
        <w:rPr>
          <w:rFonts w:hint="eastAsia"/>
        </w:rPr>
        <w:t>。评审委员会推荐成交候选供应商后，应当向采购组织单位出具</w:t>
      </w:r>
      <w:r>
        <w:rPr>
          <w:rFonts w:hint="eastAsia"/>
          <w:lang w:eastAsia="zh-CN"/>
        </w:rPr>
        <w:t>评审报告</w:t>
      </w:r>
      <w:r>
        <w:rPr>
          <w:rFonts w:hint="eastAsia"/>
        </w:rPr>
        <w:t>。</w:t>
      </w:r>
      <w:r>
        <w:rPr>
          <w:rFonts w:hint="eastAsia"/>
          <w:lang w:eastAsia="zh-CN"/>
        </w:rPr>
        <w:t>评审报告</w:t>
      </w:r>
      <w:r>
        <w:rPr>
          <w:rFonts w:hint="eastAsia"/>
        </w:rPr>
        <w:t>应当包括下列内容：</w:t>
      </w:r>
    </w:p>
    <w:p w14:paraId="118460A2">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邀请供应商参加采购活动的具体方式和相关情况</w:t>
      </w:r>
      <w:r>
        <w:rPr>
          <w:rFonts w:hint="eastAsia"/>
          <w:lang w:eastAsia="zh-CN"/>
        </w:rPr>
        <w:t>、以及参加采购活动的供应商名单</w:t>
      </w:r>
      <w:r>
        <w:rPr>
          <w:rFonts w:hint="eastAsia"/>
        </w:rPr>
        <w:t>；</w:t>
      </w:r>
    </w:p>
    <w:p w14:paraId="7233FC21">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响应文件开启日期和地点；</w:t>
      </w:r>
    </w:p>
    <w:p w14:paraId="4408EA17">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获取磋商文件的供应商名单和磋商小组成员名单；</w:t>
      </w:r>
    </w:p>
    <w:p w14:paraId="505D2741">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lang w:val="en-US" w:eastAsia="zh-CN"/>
        </w:rPr>
        <w:t>参加报价的供应商名单及报价情况和未参加报价的供应商名单及原因；</w:t>
      </w:r>
    </w:p>
    <w:p w14:paraId="7BFB2933">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lang w:val="en-US" w:eastAsia="zh-CN"/>
        </w:rPr>
        <w:t>磋商</w:t>
      </w:r>
      <w:r>
        <w:rPr>
          <w:rFonts w:hint="eastAsia"/>
        </w:rPr>
        <w:t>文件规定的采购项目实质性要求及变动</w:t>
      </w:r>
      <w:r>
        <w:rPr>
          <w:rFonts w:hint="eastAsia"/>
          <w:lang w:val="en-US" w:eastAsia="zh-CN"/>
        </w:rPr>
        <w:t>磋商</w:t>
      </w:r>
      <w:r>
        <w:rPr>
          <w:rFonts w:hint="eastAsia"/>
        </w:rPr>
        <w:t>文件实质性内容的有关资料及记录；</w:t>
      </w:r>
    </w:p>
    <w:p w14:paraId="2E5D5CC1">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供应商响应文件响应</w:t>
      </w:r>
      <w:r>
        <w:rPr>
          <w:rFonts w:hint="eastAsia"/>
          <w:lang w:val="en-US" w:eastAsia="zh-CN"/>
        </w:rPr>
        <w:t>磋商</w:t>
      </w:r>
      <w:r>
        <w:rPr>
          <w:rFonts w:hint="eastAsia"/>
        </w:rPr>
        <w:t>文件实质性要求情况及供应商变动响应文件有关资料及记录</w:t>
      </w:r>
      <w:r>
        <w:rPr>
          <w:rFonts w:hint="eastAsia"/>
          <w:lang w:eastAsia="zh-CN"/>
        </w:rPr>
        <w:t>；</w:t>
      </w:r>
    </w:p>
    <w:p w14:paraId="7B8F4A2C">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评审情况记录和说明，包括对供应商的资格审查情况、供应商响应文件评审情况、磋商情况、报价情况等；</w:t>
      </w:r>
    </w:p>
    <w:p w14:paraId="0D8DFAC6">
      <w:pPr>
        <w:pStyle w:val="70"/>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提出的成交候选供应商的排序名单及理由。</w:t>
      </w:r>
    </w:p>
    <w:p w14:paraId="5740E392">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lang w:val="en-US" w:eastAsia="zh-CN"/>
        </w:rPr>
      </w:pPr>
      <w:r>
        <w:rPr>
          <w:rFonts w:hint="eastAsia"/>
          <w:lang w:val="en-US" w:eastAsia="zh-CN"/>
        </w:rPr>
        <w:t>评审报告应当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2D91C1D5">
      <w:pPr>
        <w:pStyle w:val="69"/>
        <w:keepNext w:val="0"/>
        <w:keepLines w:val="0"/>
        <w:pageBreakBefore w:val="0"/>
        <w:widowControl w:val="0"/>
        <w:kinsoku/>
        <w:wordWrap w:val="0"/>
        <w:overflowPunct/>
        <w:topLinePunct/>
        <w:autoSpaceDE/>
        <w:autoSpaceDN/>
        <w:bidi w:val="0"/>
        <w:adjustRightInd w:val="0"/>
        <w:snapToGrid w:val="0"/>
        <w:spacing w:line="520" w:lineRule="exact"/>
        <w:textAlignment w:val="auto"/>
        <w:rPr>
          <w:rFonts w:hint="eastAsia"/>
        </w:rPr>
      </w:pPr>
      <w:r>
        <w:rPr>
          <w:rFonts w:hint="eastAsia"/>
        </w:rPr>
        <w:t>磋商异议处理规则。在磋商过程中，磋商小组成员对响应文件是否符合磋商文件规定存在争议的，应当以少数服从多数的原则处理，但不违背磋商文件规定。有不同意见的磋商小组成员认为认定过程和结果不符合法律法规或者磋商文件规定的，应当在磋商报告中予以反映。</w:t>
      </w:r>
    </w:p>
    <w:p w14:paraId="44BCC83C">
      <w:pPr>
        <w:pStyle w:val="48"/>
        <w:bidi w:val="0"/>
        <w:rPr>
          <w:rFonts w:hint="eastAsia"/>
        </w:rPr>
      </w:pPr>
    </w:p>
    <w:p w14:paraId="63C2D602">
      <w:pPr>
        <w:pStyle w:val="54"/>
        <w:numPr>
          <w:ilvl w:val="0"/>
          <w:numId w:val="18"/>
        </w:numPr>
        <w:bidi w:val="0"/>
        <w:rPr>
          <w:rFonts w:hint="eastAsia"/>
        </w:rPr>
      </w:pPr>
      <w:r>
        <w:rPr>
          <w:rFonts w:hint="eastAsia"/>
        </w:rPr>
        <w:br w:type="page"/>
      </w:r>
      <w:bookmarkEnd w:id="525"/>
      <w:bookmarkStart w:id="576" w:name="_Toc28140"/>
      <w:bookmarkStart w:id="577" w:name="_Toc229"/>
      <w:bookmarkStart w:id="578" w:name="_Toc13264"/>
      <w:bookmarkStart w:id="579" w:name="_Toc29012"/>
      <w:bookmarkStart w:id="580" w:name="_Toc7547"/>
      <w:bookmarkStart w:id="581" w:name="_Toc18908"/>
      <w:bookmarkStart w:id="582" w:name="_Toc27461"/>
      <w:r>
        <w:rPr>
          <w:rFonts w:hint="eastAsia"/>
        </w:rPr>
        <w:t>采购合同</w:t>
      </w:r>
      <w:bookmarkEnd w:id="576"/>
      <w:bookmarkEnd w:id="577"/>
      <w:bookmarkEnd w:id="578"/>
      <w:bookmarkEnd w:id="579"/>
      <w:bookmarkEnd w:id="580"/>
      <w:bookmarkEnd w:id="581"/>
      <w:bookmarkEnd w:id="582"/>
    </w:p>
    <w:p w14:paraId="5545EAEE">
      <w:pPr>
        <w:rPr>
          <w:rFonts w:hint="eastAsia" w:ascii="方正小标宋简体" w:hAnsi="宋体" w:eastAsia="方正小标宋简体" w:cs="宋体"/>
          <w:b/>
          <w:bCs/>
          <w:kern w:val="0"/>
          <w:sz w:val="27"/>
          <w:szCs w:val="27"/>
        </w:rPr>
      </w:pPr>
      <w:r>
        <w:rPr>
          <w:rFonts w:ascii="方正小标宋简体" w:hAnsi="宋体" w:eastAsia="方正小标宋简体" w:cs="宋体"/>
          <w:b/>
          <w:bCs/>
          <w:kern w:val="0"/>
          <w:sz w:val="27"/>
          <w:szCs w:val="27"/>
        </w:rPr>
        <w:t>合同编号：</w:t>
      </w:r>
    </w:p>
    <w:p w14:paraId="76529D9A">
      <w:pPr>
        <w:rPr>
          <w:sz w:val="19"/>
        </w:rPr>
      </w:pPr>
    </w:p>
    <w:p w14:paraId="55C47C67">
      <w:pPr>
        <w:snapToGrid w:val="0"/>
        <w:spacing w:before="119" w:line="272" w:lineRule="atLeast"/>
        <w:jc w:val="center"/>
        <w:rPr>
          <w:rFonts w:hint="eastAsia" w:ascii="方正小标宋简体" w:hAnsi="宋体" w:eastAsia="方正小标宋简体" w:cs="宋体"/>
          <w:b/>
          <w:bCs/>
          <w:kern w:val="0"/>
          <w:sz w:val="36"/>
          <w:szCs w:val="36"/>
        </w:rPr>
      </w:pPr>
      <w:r>
        <w:rPr>
          <w:rFonts w:hint="eastAsia" w:ascii="方正小标宋简体" w:hAnsi="宋体" w:eastAsia="方正小标宋简体" w:cs="宋体"/>
          <w:b/>
          <w:bCs/>
          <w:kern w:val="0"/>
          <w:sz w:val="36"/>
          <w:szCs w:val="36"/>
        </w:rPr>
        <w:t>西南石油大学</w:t>
      </w:r>
      <w:r>
        <w:rPr>
          <w:rFonts w:hint="eastAsia" w:ascii="方正小标宋简体" w:hAnsi="宋体" w:eastAsia="方正小标宋简体" w:cs="宋体"/>
          <w:b/>
          <w:bCs/>
          <w:kern w:val="0"/>
          <w:sz w:val="36"/>
          <w:szCs w:val="36"/>
          <w:lang w:val="en-US" w:eastAsia="zh-CN"/>
        </w:rPr>
        <w:t>XX</w:t>
      </w:r>
      <w:r>
        <w:rPr>
          <w:rFonts w:hint="eastAsia" w:ascii="方正小标宋简体" w:hAnsi="宋体" w:eastAsia="方正小标宋简体" w:cs="宋体"/>
          <w:b/>
          <w:bCs/>
          <w:kern w:val="0"/>
          <w:sz w:val="36"/>
          <w:szCs w:val="36"/>
        </w:rPr>
        <w:t>审计服务采购项目</w:t>
      </w:r>
    </w:p>
    <w:p w14:paraId="6DE55208">
      <w:pPr>
        <w:snapToGrid w:val="0"/>
        <w:spacing w:before="119" w:line="272" w:lineRule="atLeast"/>
        <w:ind w:firstLine="3253" w:firstLineChars="900"/>
        <w:jc w:val="left"/>
        <w:rPr>
          <w:rFonts w:hint="eastAsia" w:ascii="方正小标宋简体" w:hAnsi="宋体" w:eastAsia="方正小标宋简体" w:cs="宋体"/>
          <w:b/>
          <w:bCs/>
          <w:kern w:val="0"/>
          <w:sz w:val="36"/>
          <w:szCs w:val="36"/>
        </w:rPr>
      </w:pPr>
      <w:r>
        <w:rPr>
          <w:rFonts w:ascii="方正小标宋简体" w:hAnsi="宋体" w:eastAsia="方正小标宋简体" w:cs="宋体"/>
          <w:b/>
          <w:bCs/>
          <w:kern w:val="0"/>
          <w:sz w:val="36"/>
          <w:szCs w:val="36"/>
        </w:rPr>
        <w:t>(服务类)</w:t>
      </w:r>
    </w:p>
    <w:p w14:paraId="1188FC36">
      <w:pPr>
        <w:snapToGrid w:val="0"/>
        <w:spacing w:before="119" w:line="272" w:lineRule="atLeast"/>
        <w:ind w:left="958"/>
        <w:jc w:val="center"/>
        <w:rPr>
          <w:sz w:val="18"/>
          <w:szCs w:val="21"/>
        </w:rPr>
      </w:pPr>
    </w:p>
    <w:p w14:paraId="4F406E78">
      <w:pPr>
        <w:snapToGrid w:val="0"/>
        <w:spacing w:before="119" w:line="272" w:lineRule="atLeast"/>
        <w:rPr>
          <w:sz w:val="19"/>
          <w:szCs w:val="21"/>
        </w:rPr>
      </w:pPr>
    </w:p>
    <w:p w14:paraId="75DADD0A">
      <w:pPr>
        <w:snapToGrid w:val="0"/>
        <w:spacing w:before="119" w:line="272" w:lineRule="atLeast"/>
        <w:rPr>
          <w:sz w:val="19"/>
          <w:szCs w:val="21"/>
        </w:rPr>
      </w:pPr>
    </w:p>
    <w:p w14:paraId="685EB49A">
      <w:pPr>
        <w:spacing w:line="360" w:lineRule="auto"/>
        <w:ind w:firstLine="280" w:firstLineChars="100"/>
        <w:rPr>
          <w:bCs/>
          <w:sz w:val="28"/>
          <w:szCs w:val="28"/>
        </w:rPr>
      </w:pPr>
      <w:r>
        <w:rPr>
          <w:sz w:val="28"/>
          <w:szCs w:val="28"/>
        </w:rPr>
        <w:t>采购编号：</w:t>
      </w:r>
    </w:p>
    <w:p w14:paraId="14436E69">
      <w:pPr>
        <w:spacing w:line="360" w:lineRule="auto"/>
        <w:ind w:firstLine="280" w:firstLineChars="100"/>
        <w:rPr>
          <w:bCs/>
          <w:sz w:val="28"/>
          <w:szCs w:val="28"/>
        </w:rPr>
      </w:pPr>
      <w:r>
        <w:rPr>
          <w:sz w:val="28"/>
          <w:szCs w:val="28"/>
        </w:rPr>
        <w:t>政采备案号：</w:t>
      </w:r>
    </w:p>
    <w:p w14:paraId="79EF6C49">
      <w:pPr>
        <w:spacing w:line="360" w:lineRule="auto"/>
        <w:ind w:firstLine="280" w:firstLineChars="100"/>
        <w:rPr>
          <w:sz w:val="28"/>
          <w:szCs w:val="28"/>
        </w:rPr>
      </w:pPr>
      <w:r>
        <w:rPr>
          <w:sz w:val="28"/>
          <w:szCs w:val="28"/>
        </w:rPr>
        <w:t>甲方(采购单位)：</w:t>
      </w:r>
    </w:p>
    <w:p w14:paraId="711A2AEC">
      <w:pPr>
        <w:spacing w:line="360" w:lineRule="auto"/>
        <w:ind w:firstLine="280" w:firstLineChars="100"/>
        <w:rPr>
          <w:bCs/>
          <w:sz w:val="28"/>
          <w:szCs w:val="28"/>
        </w:rPr>
      </w:pPr>
      <w:r>
        <w:rPr>
          <w:bCs/>
          <w:sz w:val="28"/>
          <w:szCs w:val="28"/>
        </w:rPr>
        <w:t>住所地：</w:t>
      </w:r>
    </w:p>
    <w:p w14:paraId="13ED8A10">
      <w:pPr>
        <w:spacing w:line="360" w:lineRule="auto"/>
        <w:ind w:firstLine="280" w:firstLineChars="100"/>
        <w:rPr>
          <w:bCs/>
          <w:sz w:val="28"/>
          <w:szCs w:val="28"/>
        </w:rPr>
      </w:pPr>
      <w:r>
        <w:rPr>
          <w:bCs/>
          <w:sz w:val="28"/>
          <w:szCs w:val="28"/>
        </w:rPr>
        <w:t>法定代表人：</w:t>
      </w:r>
    </w:p>
    <w:p w14:paraId="1AD631B3">
      <w:pPr>
        <w:spacing w:line="360" w:lineRule="auto"/>
        <w:ind w:firstLine="280" w:firstLineChars="100"/>
        <w:rPr>
          <w:bCs/>
          <w:sz w:val="28"/>
          <w:szCs w:val="28"/>
        </w:rPr>
      </w:pPr>
      <w:r>
        <w:rPr>
          <w:sz w:val="28"/>
          <w:szCs w:val="28"/>
        </w:rPr>
        <w:t>乙方</w:t>
      </w:r>
      <w:r>
        <w:rPr>
          <w:rFonts w:hint="eastAsia"/>
          <w:sz w:val="28"/>
          <w:szCs w:val="28"/>
          <w:lang w:eastAsia="zh-CN"/>
        </w:rPr>
        <w:t>(</w:t>
      </w:r>
      <w:r>
        <w:rPr>
          <w:sz w:val="28"/>
          <w:szCs w:val="28"/>
        </w:rPr>
        <w:t>供应商</w:t>
      </w:r>
      <w:r>
        <w:rPr>
          <w:rFonts w:hint="eastAsia"/>
          <w:sz w:val="28"/>
          <w:szCs w:val="28"/>
          <w:lang w:eastAsia="zh-CN"/>
        </w:rPr>
        <w:t>)</w:t>
      </w:r>
      <w:r>
        <w:rPr>
          <w:sz w:val="28"/>
          <w:szCs w:val="28"/>
        </w:rPr>
        <w:t>：</w:t>
      </w:r>
    </w:p>
    <w:p w14:paraId="263D681C">
      <w:pPr>
        <w:spacing w:line="360" w:lineRule="auto"/>
        <w:ind w:firstLine="280" w:firstLineChars="100"/>
        <w:rPr>
          <w:bCs/>
          <w:sz w:val="28"/>
          <w:szCs w:val="28"/>
        </w:rPr>
      </w:pPr>
      <w:r>
        <w:rPr>
          <w:sz w:val="28"/>
          <w:szCs w:val="28"/>
        </w:rPr>
        <w:t>住所地：</w:t>
      </w:r>
      <w:bookmarkStart w:id="583" w:name="OLE_LINK3"/>
      <w:bookmarkStart w:id="584" w:name="OLE_LINK4"/>
    </w:p>
    <w:bookmarkEnd w:id="583"/>
    <w:bookmarkEnd w:id="584"/>
    <w:p w14:paraId="1CCFC9F9">
      <w:pPr>
        <w:spacing w:line="360" w:lineRule="auto"/>
        <w:ind w:firstLine="280" w:firstLineChars="100"/>
        <w:rPr>
          <w:bCs/>
          <w:sz w:val="28"/>
          <w:szCs w:val="28"/>
        </w:rPr>
      </w:pPr>
      <w:r>
        <w:rPr>
          <w:sz w:val="28"/>
          <w:szCs w:val="28"/>
        </w:rPr>
        <w:t>法定代表人：</w:t>
      </w:r>
    </w:p>
    <w:p w14:paraId="6A841A17">
      <w:pPr>
        <w:spacing w:line="360" w:lineRule="auto"/>
        <w:ind w:firstLine="280" w:firstLineChars="100"/>
        <w:rPr>
          <w:sz w:val="28"/>
          <w:szCs w:val="28"/>
        </w:rPr>
      </w:pPr>
      <w:r>
        <w:rPr>
          <w:sz w:val="28"/>
          <w:szCs w:val="28"/>
        </w:rPr>
        <w:t>需求单位：</w:t>
      </w:r>
    </w:p>
    <w:p w14:paraId="68E9CCE1">
      <w:pPr>
        <w:spacing w:line="360" w:lineRule="auto"/>
        <w:ind w:firstLine="280" w:firstLineChars="100"/>
        <w:rPr>
          <w:sz w:val="28"/>
          <w:szCs w:val="28"/>
        </w:rPr>
      </w:pPr>
      <w:r>
        <w:rPr>
          <w:sz w:val="28"/>
          <w:szCs w:val="28"/>
        </w:rPr>
        <w:t>归口部门：</w:t>
      </w:r>
    </w:p>
    <w:p w14:paraId="6C65BC7C">
      <w:pPr>
        <w:spacing w:line="360" w:lineRule="auto"/>
        <w:ind w:firstLine="280" w:firstLineChars="100"/>
        <w:rPr>
          <w:sz w:val="28"/>
          <w:szCs w:val="28"/>
        </w:rPr>
      </w:pPr>
      <w:r>
        <w:rPr>
          <w:sz w:val="28"/>
          <w:szCs w:val="28"/>
        </w:rPr>
        <w:t>经费来源：</w:t>
      </w:r>
    </w:p>
    <w:p w14:paraId="15FCDEB4">
      <w:pPr>
        <w:spacing w:line="360" w:lineRule="auto"/>
        <w:ind w:firstLine="280" w:firstLineChars="100"/>
        <w:rPr>
          <w:sz w:val="28"/>
          <w:szCs w:val="28"/>
        </w:rPr>
      </w:pPr>
      <w:r>
        <w:rPr>
          <w:sz w:val="28"/>
          <w:szCs w:val="28"/>
        </w:rPr>
        <w:t>预算</w:t>
      </w:r>
      <w:r>
        <w:rPr>
          <w:rFonts w:hint="eastAsia"/>
          <w:sz w:val="28"/>
          <w:szCs w:val="28"/>
          <w:lang w:eastAsia="zh-CN"/>
        </w:rPr>
        <w:t>(</w:t>
      </w:r>
      <w:r>
        <w:rPr>
          <w:sz w:val="28"/>
          <w:szCs w:val="28"/>
        </w:rPr>
        <w:t>元</w:t>
      </w:r>
      <w:r>
        <w:rPr>
          <w:rFonts w:hint="eastAsia"/>
          <w:sz w:val="28"/>
          <w:szCs w:val="28"/>
          <w:lang w:eastAsia="zh-CN"/>
        </w:rPr>
        <w:t>)</w:t>
      </w:r>
      <w:r>
        <w:rPr>
          <w:sz w:val="28"/>
          <w:szCs w:val="28"/>
        </w:rPr>
        <w:t>：</w:t>
      </w:r>
    </w:p>
    <w:p w14:paraId="20F86A65">
      <w:pPr>
        <w:spacing w:line="360" w:lineRule="auto"/>
        <w:ind w:firstLine="280" w:firstLineChars="100"/>
        <w:rPr>
          <w:bCs/>
          <w:sz w:val="28"/>
          <w:szCs w:val="28"/>
          <w:u w:val="single"/>
        </w:rPr>
      </w:pPr>
      <w:r>
        <w:rPr>
          <w:sz w:val="28"/>
          <w:szCs w:val="28"/>
        </w:rPr>
        <w:t>签署地点：</w:t>
      </w:r>
    </w:p>
    <w:p w14:paraId="751677B6">
      <w:pPr>
        <w:spacing w:line="360" w:lineRule="auto"/>
        <w:ind w:firstLine="280" w:firstLineChars="100"/>
        <w:rPr>
          <w:sz w:val="28"/>
          <w:szCs w:val="28"/>
          <w:lang w:eastAsia="zh-Hans"/>
        </w:rPr>
      </w:pPr>
      <w:r>
        <w:rPr>
          <w:sz w:val="28"/>
          <w:szCs w:val="28"/>
          <w:lang w:eastAsia="zh-Hans"/>
        </w:rPr>
        <w:t>签订时间：</w:t>
      </w:r>
    </w:p>
    <w:p w14:paraId="79FB64D8">
      <w:pPr>
        <w:pStyle w:val="11"/>
        <w:spacing w:line="360" w:lineRule="auto"/>
        <w:rPr>
          <w:rFonts w:hint="eastAsia"/>
          <w:sz w:val="28"/>
          <w:szCs w:val="28"/>
        </w:rPr>
      </w:pPr>
      <w:r>
        <w:rPr>
          <w:rFonts w:hint="eastAsia"/>
          <w:sz w:val="28"/>
          <w:szCs w:val="28"/>
          <w:lang w:eastAsia="zh-Hans"/>
        </w:rPr>
        <w:t xml:space="preserve"> </w:t>
      </w:r>
      <w:r>
        <w:rPr>
          <w:sz w:val="28"/>
          <w:szCs w:val="28"/>
          <w:lang w:eastAsia="zh-Hans"/>
        </w:rPr>
        <w:t xml:space="preserve"> </w:t>
      </w:r>
      <w:r>
        <w:rPr>
          <w:rFonts w:hint="eastAsia"/>
          <w:sz w:val="28"/>
          <w:szCs w:val="28"/>
          <w:lang w:eastAsia="zh-Hans"/>
        </w:rPr>
        <w:t>企业类型</w:t>
      </w:r>
      <w:r>
        <w:rPr>
          <w:rFonts w:hint="eastAsia"/>
          <w:sz w:val="28"/>
          <w:szCs w:val="28"/>
        </w:rPr>
        <w:t>：</w:t>
      </w:r>
    </w:p>
    <w:p w14:paraId="7F1F0220">
      <w:pPr>
        <w:pStyle w:val="14"/>
        <w:rPr>
          <w:rFonts w:hint="eastAsia"/>
          <w:sz w:val="28"/>
          <w:szCs w:val="28"/>
        </w:rPr>
      </w:pPr>
    </w:p>
    <w:p w14:paraId="7AD1B7C2">
      <w:pPr>
        <w:pStyle w:val="14"/>
        <w:rPr>
          <w:rFonts w:hint="eastAsia"/>
          <w:sz w:val="28"/>
          <w:szCs w:val="28"/>
        </w:rPr>
      </w:pPr>
    </w:p>
    <w:p w14:paraId="321C6BC6">
      <w:pPr>
        <w:pStyle w:val="14"/>
        <w:rPr>
          <w:rFonts w:hint="eastAsia"/>
          <w:sz w:val="28"/>
          <w:szCs w:val="28"/>
        </w:rPr>
      </w:pPr>
    </w:p>
    <w:p w14:paraId="3C58A9AE">
      <w:pPr>
        <w:spacing w:before="120" w:after="120"/>
        <w:jc w:val="center"/>
        <w:outlineLvl w:val="9"/>
        <w:rPr>
          <w:sz w:val="30"/>
          <w:szCs w:val="30"/>
        </w:rPr>
      </w:pPr>
      <w:bookmarkStart w:id="585" w:name="_Toc419045055"/>
      <w:bookmarkStart w:id="586" w:name="_Toc4582"/>
      <w:bookmarkStart w:id="587" w:name="_Toc50456126"/>
      <w:r>
        <w:rPr>
          <w:sz w:val="30"/>
          <w:szCs w:val="30"/>
        </w:rPr>
        <w:t>第一部分</w:t>
      </w:r>
      <w:r>
        <w:rPr>
          <w:rFonts w:hint="eastAsia"/>
          <w:sz w:val="30"/>
          <w:szCs w:val="30"/>
        </w:rPr>
        <w:t xml:space="preserve"> </w:t>
      </w:r>
      <w:r>
        <w:rPr>
          <w:sz w:val="30"/>
          <w:szCs w:val="30"/>
        </w:rPr>
        <w:t>协议书</w:t>
      </w:r>
      <w:bookmarkEnd w:id="585"/>
      <w:bookmarkEnd w:id="586"/>
      <w:bookmarkEnd w:id="587"/>
    </w:p>
    <w:p w14:paraId="307251C0">
      <w:pPr>
        <w:pStyle w:val="78"/>
        <w:spacing w:line="360" w:lineRule="auto"/>
        <w:ind w:left="480" w:leftChars="200"/>
        <w:jc w:val="left"/>
        <w:rPr>
          <w:sz w:val="24"/>
          <w:szCs w:val="24"/>
          <w:u w:val="single"/>
        </w:rPr>
      </w:pPr>
      <w:bookmarkStart w:id="588" w:name="7"/>
      <w:r>
        <w:rPr>
          <w:sz w:val="24"/>
          <w:szCs w:val="24"/>
        </w:rPr>
        <w:t>委托人</w:t>
      </w:r>
      <w:r>
        <w:rPr>
          <w:rFonts w:hint="eastAsia"/>
          <w:sz w:val="24"/>
          <w:szCs w:val="24"/>
          <w:lang w:eastAsia="zh-CN"/>
        </w:rPr>
        <w:t>(</w:t>
      </w:r>
      <w:r>
        <w:rPr>
          <w:sz w:val="24"/>
          <w:szCs w:val="24"/>
        </w:rPr>
        <w:t>全称</w:t>
      </w:r>
      <w:r>
        <w:rPr>
          <w:rFonts w:hint="eastAsia"/>
          <w:sz w:val="24"/>
          <w:szCs w:val="24"/>
          <w:lang w:eastAsia="zh-CN"/>
        </w:rPr>
        <w:t>)</w:t>
      </w:r>
      <w:r>
        <w:rPr>
          <w:sz w:val="24"/>
          <w:szCs w:val="24"/>
        </w:rPr>
        <w:t>：</w:t>
      </w:r>
      <w:r>
        <w:rPr>
          <w:sz w:val="24"/>
          <w:szCs w:val="24"/>
          <w:u w:val="single"/>
        </w:rPr>
        <w:t xml:space="preserve">          </w:t>
      </w:r>
      <w:r>
        <w:rPr>
          <w:rFonts w:hint="eastAsia"/>
          <w:sz w:val="24"/>
          <w:szCs w:val="24"/>
          <w:u w:val="single"/>
        </w:rPr>
        <w:t>西南石油大学</w:t>
      </w:r>
      <w:r>
        <w:rPr>
          <w:sz w:val="24"/>
          <w:szCs w:val="24"/>
          <w:u w:val="single"/>
        </w:rPr>
        <w:t xml:space="preserve">            </w:t>
      </w:r>
    </w:p>
    <w:p w14:paraId="2CB70EEA">
      <w:pPr>
        <w:pStyle w:val="78"/>
        <w:spacing w:line="360" w:lineRule="auto"/>
        <w:ind w:left="480" w:leftChars="200"/>
        <w:jc w:val="left"/>
        <w:rPr>
          <w:sz w:val="24"/>
          <w:szCs w:val="24"/>
          <w:u w:val="single"/>
        </w:rPr>
      </w:pPr>
      <w:r>
        <w:rPr>
          <w:sz w:val="24"/>
          <w:szCs w:val="24"/>
        </w:rPr>
        <w:t>咨询人</w:t>
      </w:r>
      <w:r>
        <w:rPr>
          <w:rFonts w:hint="eastAsia"/>
          <w:sz w:val="24"/>
          <w:szCs w:val="24"/>
          <w:lang w:eastAsia="zh-CN"/>
        </w:rPr>
        <w:t>(</w:t>
      </w:r>
      <w:r>
        <w:rPr>
          <w:sz w:val="24"/>
          <w:szCs w:val="24"/>
        </w:rPr>
        <w:t>全称</w:t>
      </w:r>
      <w:r>
        <w:rPr>
          <w:rFonts w:hint="eastAsia"/>
          <w:sz w:val="24"/>
          <w:szCs w:val="24"/>
          <w:lang w:eastAsia="zh-CN"/>
        </w:rPr>
        <w:t>)</w:t>
      </w:r>
      <w:r>
        <w:rPr>
          <w:sz w:val="24"/>
          <w:szCs w:val="24"/>
        </w:rPr>
        <w:t>：</w:t>
      </w:r>
      <w:r>
        <w:rPr>
          <w:sz w:val="24"/>
          <w:szCs w:val="24"/>
          <w:u w:val="single"/>
        </w:rPr>
        <w:t xml:space="preserve">     </w:t>
      </w:r>
      <w:r>
        <w:rPr>
          <w:rFonts w:hint="eastAsia"/>
          <w:sz w:val="24"/>
          <w:szCs w:val="24"/>
          <w:u w:val="single"/>
          <w:lang w:val="en-US" w:eastAsia="zh-CN"/>
        </w:rPr>
        <w:t xml:space="preserve">                        </w:t>
      </w:r>
      <w:r>
        <w:rPr>
          <w:sz w:val="24"/>
          <w:szCs w:val="24"/>
          <w:u w:val="single"/>
        </w:rPr>
        <w:t xml:space="preserve">     </w:t>
      </w:r>
    </w:p>
    <w:p w14:paraId="057827BD">
      <w:pPr>
        <w:pStyle w:val="78"/>
        <w:spacing w:line="360" w:lineRule="auto"/>
        <w:ind w:left="480" w:leftChars="200"/>
        <w:jc w:val="left"/>
        <w:rPr>
          <w:sz w:val="24"/>
          <w:szCs w:val="24"/>
        </w:rPr>
      </w:pPr>
      <w:r>
        <w:rPr>
          <w:sz w:val="24"/>
          <w:szCs w:val="24"/>
        </w:rPr>
        <w:t>根据《</w:t>
      </w:r>
      <w:r>
        <w:fldChar w:fldCharType="begin"/>
      </w:r>
      <w:r>
        <w:instrText xml:space="preserve"> HYPERLINK "javascript:SLC(21651,0)" </w:instrText>
      </w:r>
      <w:r>
        <w:fldChar w:fldCharType="separate"/>
      </w:r>
      <w:r>
        <w:rPr>
          <w:rStyle w:val="79"/>
          <w:color w:val="auto"/>
          <w:sz w:val="24"/>
          <w:szCs w:val="24"/>
        </w:rPr>
        <w:t>中华人民共和国民法典</w:t>
      </w:r>
      <w:r>
        <w:rPr>
          <w:rStyle w:val="79"/>
          <w:color w:val="auto"/>
          <w:sz w:val="24"/>
          <w:szCs w:val="24"/>
        </w:rPr>
        <w:fldChar w:fldCharType="end"/>
      </w:r>
      <w:r>
        <w:rPr>
          <w:sz w:val="24"/>
          <w:szCs w:val="24"/>
        </w:rPr>
        <w:t>》及其他有关法律、法规，遵循平等、自愿、</w:t>
      </w:r>
    </w:p>
    <w:p w14:paraId="4808BD0B">
      <w:pPr>
        <w:pStyle w:val="78"/>
        <w:spacing w:line="360" w:lineRule="auto"/>
        <w:jc w:val="left"/>
        <w:rPr>
          <w:sz w:val="24"/>
          <w:szCs w:val="24"/>
        </w:rPr>
      </w:pPr>
      <w:r>
        <w:rPr>
          <w:sz w:val="24"/>
          <w:szCs w:val="24"/>
        </w:rPr>
        <w:t>公平和诚实信用的原则，双方就下述建设工程委托造价咨询与其他服务事项协商一致，订立本合同。</w:t>
      </w:r>
    </w:p>
    <w:p w14:paraId="124928D7">
      <w:pPr>
        <w:spacing w:line="360" w:lineRule="auto"/>
        <w:ind w:left="547" w:leftChars="228"/>
        <w:rPr>
          <w:sz w:val="24"/>
          <w:u w:val="single"/>
        </w:rPr>
      </w:pPr>
      <w:bookmarkStart w:id="589" w:name="_Toc50456127"/>
      <w:bookmarkStart w:id="590" w:name="_Toc20792"/>
      <w:bookmarkStart w:id="591" w:name="_Toc419045056"/>
      <w:r>
        <w:rPr>
          <w:b/>
          <w:bCs/>
        </w:rPr>
        <w:t>一、工程概况</w:t>
      </w:r>
      <w:bookmarkEnd w:id="589"/>
      <w:bookmarkEnd w:id="590"/>
      <w:r>
        <w:rPr>
          <w:sz w:val="24"/>
        </w:rPr>
        <w:br w:type="textWrapping"/>
      </w:r>
      <w:bookmarkEnd w:id="588"/>
      <w:bookmarkEnd w:id="591"/>
      <w:r>
        <w:rPr>
          <w:sz w:val="24"/>
        </w:rPr>
        <w:t>1.工程名称</w:t>
      </w:r>
      <w:r>
        <w:rPr>
          <w:sz w:val="24"/>
          <w:u w:val="single"/>
        </w:rPr>
        <w:t xml:space="preserve">：      </w:t>
      </w:r>
      <w:r>
        <w:rPr>
          <w:rFonts w:hint="eastAsia"/>
          <w:sz w:val="24"/>
          <w:u w:val="single"/>
          <w:lang w:val="en-US" w:eastAsia="zh-CN"/>
        </w:rPr>
        <w:t xml:space="preserve">                              </w:t>
      </w:r>
      <w:r>
        <w:rPr>
          <w:sz w:val="24"/>
          <w:u w:val="single"/>
        </w:rPr>
        <w:t xml:space="preserve">        </w:t>
      </w:r>
    </w:p>
    <w:p w14:paraId="1BB06B6B">
      <w:pPr>
        <w:spacing w:line="360" w:lineRule="auto"/>
        <w:ind w:left="547" w:leftChars="228"/>
        <w:rPr>
          <w:sz w:val="24"/>
        </w:rPr>
      </w:pPr>
      <w:r>
        <w:rPr>
          <w:sz w:val="24"/>
        </w:rPr>
        <w:t>2.工程地点：</w:t>
      </w:r>
      <w:r>
        <w:rPr>
          <w:sz w:val="24"/>
          <w:u w:val="single"/>
        </w:rPr>
        <w:t xml:space="preserve">            西南石油大学                    </w:t>
      </w:r>
    </w:p>
    <w:p w14:paraId="5A159AE5">
      <w:pPr>
        <w:spacing w:line="360" w:lineRule="auto"/>
        <w:ind w:left="547" w:leftChars="228"/>
        <w:rPr>
          <w:sz w:val="24"/>
          <w:u w:val="single"/>
        </w:rPr>
      </w:pPr>
      <w:r>
        <w:rPr>
          <w:sz w:val="24"/>
        </w:rPr>
        <w:t>3.工程规模：</w:t>
      </w:r>
      <w:r>
        <w:rPr>
          <w:sz w:val="24"/>
          <w:u w:val="single"/>
        </w:rPr>
        <w:t xml:space="preserve">              详见施工合同                  </w:t>
      </w:r>
    </w:p>
    <w:p w14:paraId="09E437C9">
      <w:pPr>
        <w:spacing w:line="360" w:lineRule="auto"/>
        <w:ind w:left="547" w:leftChars="228"/>
        <w:rPr>
          <w:sz w:val="24"/>
          <w:u w:val="single"/>
        </w:rPr>
      </w:pPr>
      <w:r>
        <w:rPr>
          <w:sz w:val="24"/>
        </w:rPr>
        <w:t>4.投资金额：</w:t>
      </w:r>
      <w:r>
        <w:rPr>
          <w:sz w:val="24"/>
          <w:u w:val="single"/>
        </w:rPr>
        <w:t xml:space="preserve">              详见施工合同                  </w:t>
      </w:r>
    </w:p>
    <w:p w14:paraId="133CBF69">
      <w:pPr>
        <w:spacing w:line="360" w:lineRule="auto"/>
        <w:ind w:left="547" w:leftChars="228"/>
        <w:rPr>
          <w:sz w:val="24"/>
          <w:u w:val="single"/>
        </w:rPr>
      </w:pPr>
      <w:r>
        <w:rPr>
          <w:sz w:val="24"/>
        </w:rPr>
        <w:t>5.资金来源：</w:t>
      </w:r>
      <w:r>
        <w:rPr>
          <w:sz w:val="24"/>
          <w:u w:val="single"/>
        </w:rPr>
        <w:t xml:space="preserve">           财政资金、学校自筹           </w:t>
      </w:r>
      <w:r>
        <w:rPr>
          <w:rFonts w:hint="eastAsia"/>
          <w:sz w:val="24"/>
          <w:u w:val="single"/>
          <w:lang w:val="en-US" w:eastAsia="zh-CN"/>
        </w:rPr>
        <w:t xml:space="preserve"> </w:t>
      </w:r>
      <w:r>
        <w:rPr>
          <w:sz w:val="24"/>
          <w:u w:val="single"/>
        </w:rPr>
        <w:t xml:space="preserve">   </w:t>
      </w:r>
    </w:p>
    <w:p w14:paraId="1C87EB20">
      <w:pPr>
        <w:spacing w:line="360" w:lineRule="auto"/>
        <w:ind w:left="547" w:leftChars="228"/>
        <w:rPr>
          <w:sz w:val="24"/>
          <w:u w:val="single"/>
        </w:rPr>
      </w:pPr>
      <w:r>
        <w:rPr>
          <w:sz w:val="24"/>
        </w:rPr>
        <w:t>6.建设工期或周期：</w:t>
      </w:r>
      <w:r>
        <w:rPr>
          <w:sz w:val="24"/>
          <w:u w:val="single"/>
        </w:rPr>
        <w:t xml:space="preserve">          详见施工合同                </w:t>
      </w:r>
    </w:p>
    <w:p w14:paraId="2553E525">
      <w:pPr>
        <w:spacing w:line="360" w:lineRule="auto"/>
        <w:ind w:left="547" w:leftChars="228"/>
        <w:rPr>
          <w:sz w:val="24"/>
        </w:rPr>
      </w:pPr>
      <w:r>
        <w:rPr>
          <w:sz w:val="24"/>
        </w:rPr>
        <w:t>7.其他：</w:t>
      </w:r>
      <w:r>
        <w:rPr>
          <w:sz w:val="24"/>
          <w:u w:val="single"/>
        </w:rPr>
        <w:t xml:space="preserve">                   /                            </w:t>
      </w:r>
    </w:p>
    <w:p w14:paraId="1E8A90F6">
      <w:pPr>
        <w:pStyle w:val="24"/>
        <w:spacing w:before="0" w:after="0" w:line="360" w:lineRule="auto"/>
        <w:ind w:firstLine="482" w:firstLineChars="200"/>
        <w:jc w:val="left"/>
        <w:outlineLvl w:val="9"/>
        <w:rPr>
          <w:rFonts w:ascii="Times New Roman" w:hAnsi="Times New Roman"/>
          <w:szCs w:val="24"/>
        </w:rPr>
      </w:pPr>
      <w:bookmarkStart w:id="592" w:name="_Toc23311"/>
      <w:bookmarkStart w:id="593" w:name="_Toc50456128"/>
      <w:bookmarkStart w:id="594" w:name="_Toc419045059"/>
      <w:r>
        <w:rPr>
          <w:rFonts w:ascii="Times New Roman" w:hAnsi="Times New Roman"/>
          <w:szCs w:val="24"/>
        </w:rPr>
        <w:t>二、服务范围及工作内容</w:t>
      </w:r>
      <w:bookmarkEnd w:id="592"/>
      <w:bookmarkEnd w:id="593"/>
      <w:bookmarkEnd w:id="594"/>
    </w:p>
    <w:p w14:paraId="0E811567">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eastAsia"/>
        </w:rPr>
      </w:pPr>
      <w:bookmarkStart w:id="595" w:name="_Toc50456129"/>
      <w:bookmarkStart w:id="596" w:name="_Toc419045060"/>
      <w:bookmarkStart w:id="597" w:name="9"/>
      <w:r>
        <w:rPr>
          <w:rFonts w:hint="eastAsia"/>
        </w:rPr>
        <w:t>双方约定的服务范围及工作内容：</w:t>
      </w:r>
    </w:p>
    <w:p w14:paraId="3D7C882B">
      <w:pPr>
        <w:keepNext w:val="0"/>
        <w:keepLines w:val="0"/>
        <w:pageBreakBefore w:val="0"/>
        <w:widowControl/>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kern w:val="0"/>
          <w:szCs w:val="21"/>
          <w:highlight w:val="none"/>
          <w:lang w:bidi="ar"/>
        </w:rPr>
      </w:pPr>
      <w:r>
        <w:rPr>
          <w:rFonts w:hint="eastAsia" w:ascii="宋体" w:hAnsi="宋体" w:eastAsia="宋体" w:cs="宋体"/>
          <w:kern w:val="0"/>
          <w:sz w:val="24"/>
          <w:szCs w:val="21"/>
          <w:lang w:val="en-US" w:eastAsia="zh-CN" w:bidi="ar"/>
        </w:rPr>
        <w:t>1.</w:t>
      </w:r>
      <w:r>
        <w:rPr>
          <w:rFonts w:hint="eastAsia" w:ascii="宋体" w:hAnsi="宋体" w:eastAsia="宋体" w:cs="宋体"/>
          <w:kern w:val="0"/>
          <w:szCs w:val="21"/>
          <w:lang w:bidi="ar"/>
        </w:rPr>
        <w:t>对</w:t>
      </w:r>
      <w:r>
        <w:rPr>
          <w:rFonts w:hint="eastAsia" w:ascii="宋体" w:hAnsi="宋体" w:eastAsia="宋体" w:cs="宋体"/>
          <w:kern w:val="0"/>
          <w:szCs w:val="21"/>
          <w:highlight w:val="none"/>
          <w:lang w:val="en-US" w:eastAsia="zh-CN" w:bidi="ar"/>
        </w:rPr>
        <w:t>施工准备、</w:t>
      </w:r>
      <w:r>
        <w:rPr>
          <w:rFonts w:hint="eastAsia" w:ascii="宋体" w:hAnsi="宋体" w:eastAsia="宋体" w:cs="宋体"/>
          <w:kern w:val="0"/>
          <w:szCs w:val="21"/>
          <w:highlight w:val="none"/>
          <w:lang w:bidi="ar"/>
        </w:rPr>
        <w:t>施工过程、竣工验收等各</w:t>
      </w:r>
      <w:r>
        <w:rPr>
          <w:rFonts w:hint="eastAsia" w:ascii="宋体" w:hAnsi="宋体" w:eastAsia="宋体" w:cs="宋体"/>
          <w:kern w:val="0"/>
          <w:szCs w:val="21"/>
          <w:lang w:bidi="ar"/>
        </w:rPr>
        <w:t>阶段的业务和管理活动进行审计。包括但不限于工程管</w:t>
      </w:r>
      <w:r>
        <w:rPr>
          <w:rFonts w:hint="eastAsia" w:ascii="宋体" w:hAnsi="宋体" w:eastAsia="宋体" w:cs="宋体"/>
          <w:kern w:val="0"/>
          <w:szCs w:val="21"/>
          <w:highlight w:val="none"/>
          <w:lang w:bidi="ar"/>
        </w:rPr>
        <w:t>理审计、工程造价审计、内部控制审计等内容。对每个审计事项和内容单独出具审计咨询意见或报告。</w:t>
      </w:r>
    </w:p>
    <w:p w14:paraId="3F570CE2">
      <w:pPr>
        <w:keepNext w:val="0"/>
        <w:keepLines w:val="0"/>
        <w:pageBreakBefore w:val="0"/>
        <w:widowControl/>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sz w:val="24"/>
          <w:highlight w:val="none"/>
          <w:lang w:val="en-US" w:eastAsia="zh-CN"/>
        </w:rPr>
      </w:pPr>
      <w:r>
        <w:rPr>
          <w:rFonts w:hint="eastAsia" w:cs="宋体"/>
          <w:sz w:val="24"/>
          <w:highlight w:val="none"/>
          <w:lang w:val="en-US" w:eastAsia="zh-CN"/>
        </w:rPr>
        <w:t>2.</w:t>
      </w:r>
      <w:r>
        <w:rPr>
          <w:rFonts w:hint="eastAsia" w:ascii="宋体" w:hAnsi="宋体" w:eastAsia="宋体" w:cs="宋体"/>
          <w:sz w:val="24"/>
          <w:highlight w:val="none"/>
          <w:lang w:val="en-US" w:eastAsia="zh-CN"/>
        </w:rPr>
        <w:t>供应商需对建设项目承包人投标报价的完整性、合理性进行审查</w:t>
      </w:r>
      <w:r>
        <w:rPr>
          <w:rFonts w:hint="eastAsia" w:cs="宋体"/>
          <w:sz w:val="24"/>
          <w:highlight w:val="none"/>
          <w:lang w:val="en-US" w:eastAsia="zh-CN"/>
        </w:rPr>
        <w:t>(</w:t>
      </w:r>
      <w:r>
        <w:rPr>
          <w:rFonts w:hint="eastAsia" w:ascii="宋体" w:hAnsi="宋体" w:eastAsia="宋体" w:cs="宋体"/>
          <w:sz w:val="24"/>
          <w:highlight w:val="none"/>
          <w:lang w:val="en-US" w:eastAsia="zh-CN"/>
        </w:rPr>
        <w:t>以下简称：清标</w:t>
      </w:r>
      <w:r>
        <w:rPr>
          <w:rFonts w:hint="eastAsia" w:cs="宋体"/>
          <w:sz w:val="24"/>
          <w:highlight w:val="none"/>
          <w:lang w:val="en-US" w:eastAsia="zh-CN"/>
        </w:rPr>
        <w:t>)</w:t>
      </w:r>
      <w:r>
        <w:rPr>
          <w:rFonts w:hint="eastAsia" w:ascii="宋体" w:hAnsi="宋体" w:eastAsia="宋体" w:cs="宋体"/>
          <w:sz w:val="24"/>
          <w:highlight w:val="none"/>
          <w:lang w:val="en-US" w:eastAsia="zh-CN"/>
        </w:rPr>
        <w:t>，并与采购人招标控制价进行对比，分析风险点，向采购人提交清标报告。</w:t>
      </w:r>
    </w:p>
    <w:bookmarkEnd w:id="595"/>
    <w:p w14:paraId="69D9A038">
      <w:pPr>
        <w:keepNext w:val="0"/>
        <w:keepLines w:val="0"/>
        <w:pageBreakBefore w:val="0"/>
        <w:widowControl/>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kern w:val="0"/>
          <w:sz w:val="24"/>
          <w:szCs w:val="21"/>
          <w:lang w:val="en-US" w:eastAsia="zh-CN" w:bidi="ar"/>
        </w:rPr>
      </w:pPr>
      <w:bookmarkStart w:id="598" w:name="_Toc50456130"/>
      <w:r>
        <w:rPr>
          <w:rFonts w:hint="eastAsia" w:ascii="宋体" w:hAnsi="宋体" w:eastAsia="宋体" w:cs="宋体"/>
          <w:color w:val="auto"/>
          <w:kern w:val="0"/>
          <w:sz w:val="24"/>
          <w:szCs w:val="21"/>
          <w:lang w:val="en-US" w:eastAsia="zh-CN" w:bidi="ar"/>
        </w:rPr>
        <w:t>3.工程管理审计是对工程管理部门在建设工程项目实施全过程的履职情况进行监督、评价，包括管理的规范性、风险防控的适当性等方面。</w:t>
      </w:r>
    </w:p>
    <w:p w14:paraId="6643A4B9">
      <w:pPr>
        <w:keepNext w:val="0"/>
        <w:keepLines w:val="0"/>
        <w:pageBreakBefore w:val="0"/>
        <w:widowControl/>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color w:val="auto"/>
          <w:kern w:val="0"/>
          <w:sz w:val="24"/>
          <w:szCs w:val="21"/>
          <w:lang w:val="en-US" w:eastAsia="zh-CN" w:bidi="ar"/>
        </w:rPr>
      </w:pPr>
      <w:r>
        <w:rPr>
          <w:rFonts w:hint="eastAsia" w:ascii="宋体" w:hAnsi="宋体" w:eastAsia="宋体" w:cs="宋体"/>
          <w:color w:val="auto"/>
          <w:kern w:val="0"/>
          <w:sz w:val="24"/>
          <w:szCs w:val="21"/>
          <w:lang w:val="en-US" w:eastAsia="zh-CN" w:bidi="ar"/>
        </w:rPr>
        <w:t>4.工程造价审计是对建设工程各阶段工程造价进行审计，包括但不限于变更估价、经济签证、</w:t>
      </w:r>
      <w:r>
        <w:rPr>
          <w:rFonts w:hint="eastAsia"/>
          <w:color w:val="auto"/>
          <w:lang w:val="en-US" w:eastAsia="zh-CN"/>
        </w:rPr>
        <w:t>新增综合单价、</w:t>
      </w:r>
      <w:r>
        <w:rPr>
          <w:rFonts w:hint="eastAsia" w:ascii="宋体" w:hAnsi="宋体" w:eastAsia="宋体" w:cs="宋体"/>
          <w:color w:val="auto"/>
          <w:kern w:val="0"/>
          <w:sz w:val="24"/>
          <w:szCs w:val="21"/>
          <w:lang w:val="en-US" w:eastAsia="zh-CN" w:bidi="ar"/>
        </w:rPr>
        <w:t>材料设备价格、索赔事项及费用、工程进度款支付的审计等。</w:t>
      </w:r>
    </w:p>
    <w:p w14:paraId="556BF50D">
      <w:pPr>
        <w:keepNext w:val="0"/>
        <w:keepLines w:val="0"/>
        <w:pageBreakBefore w:val="0"/>
        <w:widowControl/>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kern w:val="0"/>
          <w:sz w:val="24"/>
          <w:szCs w:val="21"/>
          <w:lang w:val="en-US" w:eastAsia="zh-CN" w:bidi="ar"/>
        </w:rPr>
      </w:pPr>
      <w:r>
        <w:rPr>
          <w:rFonts w:hint="eastAsia" w:ascii="宋体" w:hAnsi="宋体" w:eastAsia="宋体" w:cs="宋体"/>
          <w:kern w:val="0"/>
          <w:sz w:val="24"/>
          <w:szCs w:val="21"/>
          <w:lang w:val="en-US" w:eastAsia="zh-CN" w:bidi="ar"/>
        </w:rPr>
        <w:t>5.内部控制审计是对建设项目内部控制设计和运行的有效性，以及对项目在工期、质量、安全、成本、环境等各类风险的管控情况进行的审查和评价。包括但不限于建设工程归口管理情况、管理岗位设置与职责情况、建设工程施工准备阶段履行基本程序、执行有关政策等业务管理情况等。</w:t>
      </w:r>
    </w:p>
    <w:p w14:paraId="30B85F4C">
      <w:pPr>
        <w:keepNext w:val="0"/>
        <w:keepLines w:val="0"/>
        <w:pageBreakBefore w:val="0"/>
        <w:widowControl/>
        <w:numPr>
          <w:ilvl w:val="0"/>
          <w:numId w:val="0"/>
        </w:numPr>
        <w:tabs>
          <w:tab w:val="clear" w:pos="0"/>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kern w:val="0"/>
          <w:sz w:val="24"/>
          <w:szCs w:val="21"/>
          <w:lang w:val="en-US" w:eastAsia="zh-CN" w:bidi="ar"/>
        </w:rPr>
      </w:pPr>
      <w:r>
        <w:rPr>
          <w:rFonts w:hint="eastAsia" w:ascii="宋体" w:hAnsi="宋体" w:eastAsia="宋体" w:cs="宋体"/>
          <w:kern w:val="0"/>
          <w:sz w:val="24"/>
          <w:szCs w:val="21"/>
          <w:lang w:val="en-US" w:eastAsia="zh-CN" w:bidi="ar"/>
        </w:rPr>
        <w:t>6.配合完成学校审计处要求的其他工作任务。</w:t>
      </w:r>
    </w:p>
    <w:p w14:paraId="13C8552C">
      <w:pPr>
        <w:pStyle w:val="24"/>
        <w:spacing w:before="0" w:after="0" w:line="360" w:lineRule="auto"/>
        <w:ind w:firstLine="482" w:firstLineChars="200"/>
        <w:jc w:val="left"/>
        <w:outlineLvl w:val="9"/>
        <w:rPr>
          <w:rFonts w:ascii="Times New Roman" w:hAnsi="Times New Roman"/>
          <w:szCs w:val="24"/>
        </w:rPr>
      </w:pPr>
      <w:bookmarkStart w:id="599" w:name="_Toc32407"/>
      <w:r>
        <w:rPr>
          <w:rFonts w:ascii="Times New Roman" w:hAnsi="Times New Roman"/>
          <w:szCs w:val="24"/>
        </w:rPr>
        <w:t>三、服务期限</w:t>
      </w:r>
      <w:bookmarkEnd w:id="596"/>
      <w:bookmarkEnd w:id="598"/>
      <w:bookmarkEnd w:id="599"/>
    </w:p>
    <w:p w14:paraId="07782C9D">
      <w:pPr>
        <w:pStyle w:val="78"/>
        <w:spacing w:line="360" w:lineRule="auto"/>
        <w:ind w:firstLine="480" w:firstLineChars="200"/>
        <w:jc w:val="left"/>
        <w:rPr>
          <w:sz w:val="24"/>
          <w:szCs w:val="24"/>
        </w:rPr>
      </w:pPr>
      <w:r>
        <w:rPr>
          <w:sz w:val="24"/>
          <w:szCs w:val="24"/>
        </w:rPr>
        <w:t>本合同约定的建设工程造价咨询服务自</w:t>
      </w:r>
      <w:r>
        <w:rPr>
          <w:sz w:val="24"/>
          <w:szCs w:val="24"/>
          <w:u w:val="single"/>
        </w:rPr>
        <w:t>接到委托人通知之日</w:t>
      </w:r>
      <w:r>
        <w:rPr>
          <w:sz w:val="24"/>
          <w:szCs w:val="24"/>
        </w:rPr>
        <w:t>开始实施，至</w:t>
      </w:r>
      <w:r>
        <w:rPr>
          <w:sz w:val="24"/>
          <w:szCs w:val="24"/>
          <w:u w:val="single"/>
        </w:rPr>
        <w:t>委托人确认本建设工程造价咨询业务结束</w:t>
      </w:r>
      <w:r>
        <w:rPr>
          <w:sz w:val="24"/>
          <w:szCs w:val="24"/>
        </w:rPr>
        <w:t>日终结。</w:t>
      </w:r>
      <w:bookmarkEnd w:id="597"/>
    </w:p>
    <w:p w14:paraId="28543C48">
      <w:pPr>
        <w:pStyle w:val="24"/>
        <w:spacing w:before="0" w:after="0" w:line="360" w:lineRule="auto"/>
        <w:ind w:firstLine="482" w:firstLineChars="200"/>
        <w:jc w:val="left"/>
        <w:outlineLvl w:val="9"/>
        <w:rPr>
          <w:rFonts w:ascii="Times New Roman" w:hAnsi="Times New Roman"/>
          <w:szCs w:val="24"/>
        </w:rPr>
      </w:pPr>
      <w:bookmarkStart w:id="600" w:name="_Toc50456131"/>
      <w:bookmarkStart w:id="601" w:name="_Toc18309"/>
      <w:bookmarkStart w:id="602" w:name="_Toc419045061"/>
      <w:r>
        <w:rPr>
          <w:rFonts w:ascii="Times New Roman" w:hAnsi="Times New Roman"/>
          <w:szCs w:val="24"/>
        </w:rPr>
        <w:t>四、质量标准</w:t>
      </w:r>
      <w:bookmarkEnd w:id="600"/>
      <w:bookmarkEnd w:id="601"/>
      <w:bookmarkEnd w:id="602"/>
    </w:p>
    <w:p w14:paraId="4299674E">
      <w:pPr>
        <w:spacing w:line="360" w:lineRule="auto"/>
        <w:ind w:firstLine="480" w:firstLineChars="200"/>
        <w:rPr>
          <w:sz w:val="24"/>
        </w:rPr>
      </w:pPr>
      <w:r>
        <w:rPr>
          <w:sz w:val="24"/>
        </w:rPr>
        <w:t>工程造价咨询成果文件应符合：</w:t>
      </w:r>
    </w:p>
    <w:p w14:paraId="0FFEF2D3">
      <w:pPr>
        <w:spacing w:line="360" w:lineRule="auto"/>
        <w:ind w:firstLine="480" w:firstLineChars="200"/>
        <w:rPr>
          <w:rFonts w:hint="eastAsia"/>
          <w:sz w:val="24"/>
          <w:lang w:val="en-US" w:eastAsia="zh-CN"/>
        </w:rPr>
      </w:pPr>
      <w:bookmarkStart w:id="603" w:name="_Toc419045062"/>
      <w:bookmarkStart w:id="604" w:name="_Toc50456132"/>
      <w:bookmarkStart w:id="605" w:name="12"/>
      <w:r>
        <w:rPr>
          <w:rFonts w:hint="eastAsia"/>
          <w:sz w:val="24"/>
          <w:lang w:val="en-US" w:eastAsia="zh-CN"/>
        </w:rPr>
        <w:t>1.除满足《建设工程造价咨询规范》(GB/T51095)、《建设工程造价咨询成果文件质量标准》(CECA/GC7)和《四川省工程造价咨询服务标准》(川建价师协[2017]11号)等国家、省、市相关法规制度要求标准外，还应严格执行《审计法》《审计法实施条例》《审计准则》等相关审计法律、法规、规章，遵守行业执业准则、职业道德规范和廉洁从业纪律规定。</w:t>
      </w:r>
    </w:p>
    <w:p w14:paraId="7593C242">
      <w:pPr>
        <w:spacing w:line="360" w:lineRule="auto"/>
        <w:ind w:firstLine="480" w:firstLineChars="200"/>
        <w:rPr>
          <w:rFonts w:hint="eastAsia"/>
          <w:sz w:val="24"/>
          <w:lang w:val="en-US" w:eastAsia="zh-CN"/>
        </w:rPr>
      </w:pPr>
      <w:r>
        <w:rPr>
          <w:rFonts w:hint="eastAsia"/>
          <w:sz w:val="24"/>
          <w:lang w:val="en-US" w:eastAsia="zh-CN"/>
        </w:rPr>
        <w:t>2.供应商所出具的各类审核结果与复审结果(含政府评审、国家审计等审计结果)的误差不得超过3%。若结算审计时发现进度款、经济签证、新增综合单价等审核结果与最终审计结果差异较大，学校有权根据合同约定进行扣款处罚。若因供应商原因给学校造成损失的，供应商应当承担赔偿责任，学校有权按照有关法律、法规追究供应商其他责任。</w:t>
      </w:r>
    </w:p>
    <w:p w14:paraId="7A55C3C5">
      <w:pPr>
        <w:pStyle w:val="24"/>
        <w:spacing w:before="0" w:after="0" w:line="360" w:lineRule="auto"/>
        <w:ind w:firstLine="482" w:firstLineChars="200"/>
        <w:jc w:val="left"/>
        <w:outlineLvl w:val="9"/>
        <w:rPr>
          <w:rFonts w:ascii="Times New Roman" w:hAnsi="Times New Roman"/>
          <w:szCs w:val="24"/>
        </w:rPr>
      </w:pPr>
      <w:bookmarkStart w:id="606" w:name="_Toc11802"/>
      <w:r>
        <w:rPr>
          <w:rFonts w:ascii="Times New Roman" w:hAnsi="Times New Roman"/>
          <w:szCs w:val="24"/>
        </w:rPr>
        <w:t>五、酬金或计取方式</w:t>
      </w:r>
      <w:bookmarkEnd w:id="603"/>
      <w:bookmarkEnd w:id="604"/>
      <w:bookmarkEnd w:id="606"/>
    </w:p>
    <w:p w14:paraId="47444C0F">
      <w:pPr>
        <w:spacing w:line="360" w:lineRule="auto"/>
        <w:ind w:firstLine="240" w:firstLineChars="100"/>
        <w:rPr>
          <w:sz w:val="24"/>
        </w:rPr>
      </w:pPr>
      <w:r>
        <w:rPr>
          <w:sz w:val="24"/>
        </w:rPr>
        <w:t xml:space="preserve">  1.酬金：</w:t>
      </w:r>
      <w:r>
        <w:rPr>
          <w:sz w:val="24"/>
          <w:u w:val="single"/>
        </w:rPr>
        <w:t>按合同约定的计取方式计算</w:t>
      </w:r>
      <w:r>
        <w:rPr>
          <w:sz w:val="24"/>
        </w:rPr>
        <w:t xml:space="preserve"> 。</w:t>
      </w:r>
    </w:p>
    <w:p w14:paraId="116012E5">
      <w:pPr>
        <w:spacing w:line="360" w:lineRule="auto"/>
        <w:ind w:firstLine="480" w:firstLineChars="200"/>
        <w:rPr>
          <w:sz w:val="24"/>
        </w:rPr>
      </w:pPr>
      <w:r>
        <w:rPr>
          <w:sz w:val="24"/>
        </w:rPr>
        <w:t>2.计取方式：</w:t>
      </w:r>
      <w:r>
        <w:rPr>
          <w:rFonts w:hint="eastAsia"/>
          <w:sz w:val="24"/>
        </w:rPr>
        <w:t>以竣工结算审定金额作为计费基数，按照下表的收费费率标准*</w:t>
      </w:r>
      <w:r>
        <w:rPr>
          <w:rFonts w:hint="eastAsia"/>
          <w:sz w:val="24"/>
          <w:u w:val="single"/>
        </w:rPr>
        <w:t xml:space="preserve">  </w:t>
      </w:r>
      <w:r>
        <w:rPr>
          <w:rFonts w:hint="eastAsia"/>
          <w:sz w:val="24"/>
          <w:u w:val="single"/>
          <w:lang w:val="en-US" w:eastAsia="zh-CN"/>
        </w:rPr>
        <w:t xml:space="preserve"> </w:t>
      </w:r>
      <w:r>
        <w:rPr>
          <w:rFonts w:hint="eastAsia"/>
          <w:sz w:val="24"/>
          <w:u w:val="single"/>
        </w:rPr>
        <w:t xml:space="preserve"> %</w:t>
      </w:r>
      <w:r>
        <w:rPr>
          <w:rFonts w:hint="eastAsia"/>
          <w:sz w:val="24"/>
          <w:u w:val="single"/>
          <w:lang w:eastAsia="zh-CN"/>
        </w:rPr>
        <w:t>(</w:t>
      </w:r>
      <w:r>
        <w:rPr>
          <w:rFonts w:hint="eastAsia"/>
          <w:sz w:val="24"/>
          <w:u w:val="single"/>
        </w:rPr>
        <w:t xml:space="preserve">大写：百分之    </w:t>
      </w:r>
      <w:r>
        <w:rPr>
          <w:rFonts w:hint="eastAsia"/>
          <w:sz w:val="24"/>
          <w:u w:val="single"/>
          <w:lang w:eastAsia="zh-CN"/>
        </w:rPr>
        <w:t>)</w:t>
      </w:r>
      <w:r>
        <w:rPr>
          <w:rFonts w:hint="eastAsia"/>
          <w:sz w:val="24"/>
        </w:rPr>
        <w:t>计算收取跟踪审计服务费。</w:t>
      </w:r>
    </w:p>
    <w:tbl>
      <w:tblPr>
        <w:tblStyle w:val="25"/>
        <w:tblW w:w="0" w:type="auto"/>
        <w:jc w:val="center"/>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175"/>
        <w:gridCol w:w="1334"/>
        <w:gridCol w:w="2217"/>
        <w:gridCol w:w="2110"/>
      </w:tblGrid>
      <w:tr w14:paraId="428A50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72" w:hRule="atLeast"/>
          <w:jc w:val="center"/>
        </w:trPr>
        <w:tc>
          <w:tcPr>
            <w:tcW w:w="217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center"/>
          </w:tcPr>
          <w:p w14:paraId="7F6BADF8">
            <w:pPr>
              <w:pStyle w:val="81"/>
              <w:jc w:val="center"/>
              <w:rPr>
                <w:rFonts w:hint="eastAsia"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rPr>
              <w:t>竣工结算</w:t>
            </w:r>
            <w:r>
              <w:rPr>
                <w:rFonts w:hint="eastAsia" w:ascii="Times New Roman" w:hAnsi="Times New Roman" w:eastAsia="宋体" w:cs="Times New Roman"/>
                <w:color w:val="000000"/>
                <w:sz w:val="24"/>
                <w:szCs w:val="24"/>
                <w:lang w:val="en-US" w:eastAsia="zh-CN"/>
              </w:rPr>
              <w:t>审定</w:t>
            </w:r>
            <w:r>
              <w:rPr>
                <w:rFonts w:hint="default" w:ascii="Times New Roman" w:hAnsi="Times New Roman" w:eastAsia="宋体" w:cs="Times New Roman"/>
                <w:color w:val="000000"/>
                <w:sz w:val="24"/>
                <w:szCs w:val="24"/>
              </w:rPr>
              <w:t>金额</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元</w:t>
            </w:r>
            <w:r>
              <w:rPr>
                <w:rFonts w:hint="eastAsia" w:ascii="Times New Roman" w:hAnsi="Times New Roman" w:eastAsia="宋体" w:cs="Times New Roman"/>
                <w:color w:val="000000"/>
                <w:sz w:val="24"/>
                <w:szCs w:val="24"/>
                <w:lang w:eastAsia="zh-CN"/>
              </w:rPr>
              <w:t>)</w:t>
            </w:r>
          </w:p>
        </w:tc>
        <w:tc>
          <w:tcPr>
            <w:tcW w:w="1334"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092271A2">
            <w:pPr>
              <w:pStyle w:val="81"/>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500</w:t>
            </w:r>
            <w:r>
              <w:rPr>
                <w:rFonts w:hint="eastAsia" w:ascii="Times New Roman" w:hAnsi="Times New Roman" w:eastAsia="宋体" w:cs="Times New Roman"/>
                <w:color w:val="000000"/>
                <w:sz w:val="24"/>
                <w:szCs w:val="24"/>
                <w:lang w:val="en-US" w:eastAsia="zh-CN"/>
              </w:rPr>
              <w:t>万</w:t>
            </w:r>
            <w:r>
              <w:rPr>
                <w:rFonts w:hint="default" w:ascii="Times New Roman" w:hAnsi="Times New Roman" w:eastAsia="宋体" w:cs="Times New Roman"/>
                <w:color w:val="000000"/>
                <w:sz w:val="24"/>
                <w:szCs w:val="24"/>
              </w:rPr>
              <w:t>以内</w:t>
            </w:r>
          </w:p>
        </w:tc>
        <w:tc>
          <w:tcPr>
            <w:tcW w:w="221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18A619B7">
            <w:pPr>
              <w:pStyle w:val="81"/>
              <w:jc w:val="center"/>
              <w:rPr>
                <w:rFonts w:hint="eastAsia"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rPr>
              <w:t>500万-3000万</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含</w:t>
            </w:r>
            <w:r>
              <w:rPr>
                <w:rFonts w:hint="eastAsia" w:ascii="Times New Roman" w:hAnsi="Times New Roman" w:eastAsia="宋体" w:cs="Times New Roman"/>
                <w:color w:val="000000"/>
                <w:sz w:val="24"/>
                <w:szCs w:val="24"/>
                <w:lang w:eastAsia="zh-CN"/>
              </w:rPr>
              <w:t>)</w:t>
            </w:r>
          </w:p>
        </w:tc>
        <w:tc>
          <w:tcPr>
            <w:tcW w:w="211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center"/>
          </w:tcPr>
          <w:p w14:paraId="06241CE0">
            <w:pPr>
              <w:pStyle w:val="81"/>
              <w:jc w:val="center"/>
              <w:rPr>
                <w:rFonts w:hint="eastAsia"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rPr>
              <w:t>3000万-1亿</w:t>
            </w:r>
            <w:r>
              <w:rPr>
                <w:rFonts w:hint="eastAsia" w:ascii="Times New Roman" w:hAnsi="Times New Roman" w:eastAsia="宋体" w:cs="Times New Roman"/>
                <w:color w:val="000000"/>
                <w:sz w:val="24"/>
                <w:szCs w:val="24"/>
                <w:lang w:eastAsia="zh-CN"/>
              </w:rPr>
              <w:t>(</w:t>
            </w:r>
            <w:r>
              <w:rPr>
                <w:rFonts w:hint="eastAsia" w:ascii="Times New Roman" w:hAnsi="Times New Roman" w:eastAsia="宋体" w:cs="Times New Roman"/>
                <w:color w:val="000000"/>
                <w:sz w:val="24"/>
                <w:szCs w:val="24"/>
                <w:lang w:val="en-US" w:eastAsia="zh-CN"/>
              </w:rPr>
              <w:t>含</w:t>
            </w:r>
            <w:r>
              <w:rPr>
                <w:rFonts w:hint="eastAsia" w:ascii="Times New Roman" w:hAnsi="Times New Roman" w:eastAsia="宋体" w:cs="Times New Roman"/>
                <w:color w:val="000000"/>
                <w:sz w:val="24"/>
                <w:szCs w:val="24"/>
                <w:lang w:eastAsia="zh-CN"/>
              </w:rPr>
              <w:t>)</w:t>
            </w:r>
          </w:p>
        </w:tc>
      </w:tr>
      <w:tr w14:paraId="4BA80E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rPr>
          <w:trHeight w:val="562" w:hRule="atLeast"/>
          <w:jc w:val="center"/>
        </w:trPr>
        <w:tc>
          <w:tcPr>
            <w:tcW w:w="217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center"/>
          </w:tcPr>
          <w:p w14:paraId="2C8D2425">
            <w:pPr>
              <w:pStyle w:val="81"/>
              <w:jc w:val="center"/>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收费费率(‰)</w:t>
            </w:r>
          </w:p>
        </w:tc>
        <w:tc>
          <w:tcPr>
            <w:tcW w:w="1334"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6A564A48">
            <w:pPr>
              <w:pStyle w:val="81"/>
              <w:jc w:val="center"/>
              <w:rPr>
                <w:rFonts w:hint="default" w:ascii="Times New Roman" w:hAnsi="Times New Roman" w:eastAsia="宋体" w:cs="Times New Roman"/>
                <w:sz w:val="24"/>
                <w:szCs w:val="24"/>
              </w:rPr>
            </w:pPr>
            <w:r>
              <w:rPr>
                <w:rFonts w:hint="eastAsia" w:ascii="Times New Roman" w:hAnsi="Times New Roman" w:eastAsia="宋体" w:cs="Times New Roman"/>
                <w:color w:val="000000"/>
                <w:sz w:val="24"/>
                <w:szCs w:val="24"/>
                <w:lang w:val="en-US" w:eastAsia="zh-CN"/>
              </w:rPr>
              <w:t>1</w:t>
            </w:r>
            <w:r>
              <w:rPr>
                <w:rFonts w:hint="default" w:ascii="Times New Roman" w:hAnsi="Times New Roman" w:eastAsia="宋体" w:cs="Times New Roman"/>
                <w:color w:val="000000"/>
                <w:sz w:val="24"/>
                <w:szCs w:val="24"/>
              </w:rPr>
              <w:t>5.00</w:t>
            </w:r>
          </w:p>
        </w:tc>
        <w:tc>
          <w:tcPr>
            <w:tcW w:w="2217"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0FB34EE9">
            <w:pPr>
              <w:pStyle w:val="81"/>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13.50</w:t>
            </w:r>
          </w:p>
        </w:tc>
        <w:tc>
          <w:tcPr>
            <w:tcW w:w="2110" w:type="dxa"/>
            <w:tcBorders>
              <w:top w:val="nil"/>
              <w:left w:val="nil"/>
              <w:bottom w:val="single" w:color="000000" w:sz="4" w:space="0"/>
              <w:right w:val="single" w:color="000000" w:sz="4" w:space="0"/>
            </w:tcBorders>
            <w:tcMar>
              <w:top w:w="0" w:type="dxa"/>
              <w:left w:w="105" w:type="dxa"/>
              <w:bottom w:w="0" w:type="dxa"/>
              <w:right w:w="105" w:type="dxa"/>
            </w:tcMar>
            <w:vAlign w:val="center"/>
          </w:tcPr>
          <w:p w14:paraId="2AAEB0EF">
            <w:pPr>
              <w:pStyle w:val="81"/>
              <w:jc w:val="center"/>
              <w:rPr>
                <w:rFonts w:hint="default" w:ascii="Times New Roman" w:hAnsi="Times New Roman" w:eastAsia="宋体" w:cs="Times New Roman"/>
                <w:sz w:val="24"/>
                <w:szCs w:val="24"/>
                <w:lang w:val="en-US" w:eastAsia="zh-CN"/>
              </w:rPr>
            </w:pPr>
            <w:r>
              <w:rPr>
                <w:rFonts w:hint="eastAsia" w:ascii="Times New Roman" w:hAnsi="Times New Roman" w:eastAsia="宋体" w:cs="Times New Roman"/>
                <w:color w:val="000000"/>
                <w:sz w:val="24"/>
                <w:szCs w:val="24"/>
                <w:lang w:val="en-US" w:eastAsia="zh-CN"/>
              </w:rPr>
              <w:t>11.20</w:t>
            </w:r>
          </w:p>
        </w:tc>
      </w:tr>
    </w:tbl>
    <w:p w14:paraId="43A396EF">
      <w:pPr>
        <w:spacing w:line="360" w:lineRule="auto"/>
        <w:ind w:firstLine="240" w:firstLineChars="100"/>
        <w:rPr>
          <w:spacing w:val="-2"/>
          <w:sz w:val="24"/>
        </w:rPr>
      </w:pPr>
      <w:r>
        <w:rPr>
          <w:sz w:val="24"/>
        </w:rPr>
        <w:t>注:专业调整系数、工程复杂程度调整系数均为1</w:t>
      </w:r>
      <w:bookmarkStart w:id="607" w:name="_Toc419045058"/>
      <w:r>
        <w:rPr>
          <w:rFonts w:hint="eastAsia"/>
          <w:sz w:val="24"/>
          <w:u w:val="none"/>
        </w:rPr>
        <w:t>。</w:t>
      </w:r>
    </w:p>
    <w:p w14:paraId="75E2163A">
      <w:pPr>
        <w:pStyle w:val="78"/>
        <w:spacing w:line="360" w:lineRule="auto"/>
        <w:ind w:left="482"/>
        <w:jc w:val="left"/>
        <w:rPr>
          <w:sz w:val="24"/>
          <w:szCs w:val="24"/>
        </w:rPr>
      </w:pPr>
      <w:bookmarkStart w:id="608" w:name="_Toc25202"/>
      <w:bookmarkStart w:id="609" w:name="_Toc50456133"/>
      <w:r>
        <w:rPr>
          <w:b/>
          <w:bCs/>
        </w:rPr>
        <w:t>六、合同文件的构成</w:t>
      </w:r>
      <w:bookmarkEnd w:id="607"/>
      <w:bookmarkEnd w:id="608"/>
      <w:bookmarkEnd w:id="609"/>
      <w:r>
        <w:rPr>
          <w:sz w:val="24"/>
          <w:szCs w:val="24"/>
        </w:rPr>
        <w:br w:type="textWrapping"/>
      </w:r>
      <w:r>
        <w:rPr>
          <w:sz w:val="24"/>
          <w:szCs w:val="24"/>
        </w:rPr>
        <w:t>本协议书与下列文件一起构成合同文件:</w:t>
      </w:r>
    </w:p>
    <w:p w14:paraId="5D148018">
      <w:pPr>
        <w:pStyle w:val="78"/>
        <w:spacing w:line="360" w:lineRule="auto"/>
        <w:ind w:firstLine="480" w:firstLineChars="200"/>
        <w:jc w:val="left"/>
        <w:rPr>
          <w:sz w:val="24"/>
          <w:szCs w:val="24"/>
        </w:rPr>
      </w:pPr>
      <w:r>
        <w:rPr>
          <w:sz w:val="24"/>
          <w:szCs w:val="24"/>
        </w:rPr>
        <w:t>1.协议书</w:t>
      </w:r>
    </w:p>
    <w:p w14:paraId="0A576BF3">
      <w:pPr>
        <w:pStyle w:val="78"/>
        <w:spacing w:line="360" w:lineRule="auto"/>
        <w:ind w:firstLine="480" w:firstLineChars="200"/>
        <w:jc w:val="left"/>
        <w:rPr>
          <w:sz w:val="24"/>
          <w:szCs w:val="24"/>
        </w:rPr>
      </w:pPr>
      <w:r>
        <w:rPr>
          <w:sz w:val="24"/>
          <w:szCs w:val="24"/>
        </w:rPr>
        <w:t>2.成交通知书</w:t>
      </w:r>
    </w:p>
    <w:p w14:paraId="138CFA21">
      <w:pPr>
        <w:pStyle w:val="78"/>
        <w:spacing w:line="360" w:lineRule="auto"/>
        <w:ind w:firstLine="480" w:firstLineChars="200"/>
        <w:jc w:val="left"/>
        <w:rPr>
          <w:sz w:val="24"/>
          <w:szCs w:val="24"/>
        </w:rPr>
      </w:pPr>
      <w:r>
        <w:rPr>
          <w:sz w:val="24"/>
          <w:szCs w:val="24"/>
        </w:rPr>
        <w:t>3.竞争性磋商文件</w:t>
      </w:r>
    </w:p>
    <w:p w14:paraId="2E891194">
      <w:pPr>
        <w:pStyle w:val="78"/>
        <w:spacing w:line="360" w:lineRule="auto"/>
        <w:ind w:firstLine="480" w:firstLineChars="200"/>
        <w:jc w:val="left"/>
        <w:rPr>
          <w:sz w:val="24"/>
          <w:szCs w:val="24"/>
        </w:rPr>
      </w:pPr>
      <w:r>
        <w:rPr>
          <w:sz w:val="24"/>
          <w:szCs w:val="24"/>
        </w:rPr>
        <w:t>4.响应文件</w:t>
      </w:r>
    </w:p>
    <w:p w14:paraId="6A928FA4">
      <w:pPr>
        <w:pStyle w:val="78"/>
        <w:spacing w:line="360" w:lineRule="auto"/>
        <w:ind w:firstLine="480" w:firstLineChars="200"/>
        <w:jc w:val="left"/>
        <w:rPr>
          <w:sz w:val="24"/>
          <w:szCs w:val="24"/>
        </w:rPr>
      </w:pPr>
      <w:r>
        <w:rPr>
          <w:sz w:val="24"/>
          <w:szCs w:val="24"/>
        </w:rPr>
        <w:t>5.专用条件</w:t>
      </w:r>
    </w:p>
    <w:p w14:paraId="02096C6D">
      <w:pPr>
        <w:pStyle w:val="78"/>
        <w:spacing w:line="360" w:lineRule="auto"/>
        <w:ind w:firstLine="480" w:firstLineChars="200"/>
        <w:jc w:val="left"/>
        <w:rPr>
          <w:sz w:val="24"/>
          <w:szCs w:val="24"/>
        </w:rPr>
      </w:pPr>
      <w:r>
        <w:rPr>
          <w:sz w:val="24"/>
          <w:szCs w:val="24"/>
        </w:rPr>
        <w:t>6.通用条件</w:t>
      </w:r>
    </w:p>
    <w:p w14:paraId="381689A5">
      <w:pPr>
        <w:pStyle w:val="78"/>
        <w:spacing w:line="360" w:lineRule="auto"/>
        <w:ind w:firstLine="480" w:firstLineChars="200"/>
        <w:jc w:val="left"/>
        <w:rPr>
          <w:sz w:val="24"/>
          <w:szCs w:val="24"/>
        </w:rPr>
      </w:pPr>
      <w:r>
        <w:rPr>
          <w:sz w:val="24"/>
          <w:szCs w:val="24"/>
        </w:rPr>
        <w:t>7.其他合同相关文件</w:t>
      </w:r>
      <w:r>
        <w:rPr>
          <w:rFonts w:hint="eastAsia"/>
          <w:sz w:val="24"/>
          <w:szCs w:val="24"/>
        </w:rPr>
        <w:t>。</w:t>
      </w:r>
    </w:p>
    <w:p w14:paraId="45A0CB0E">
      <w:pPr>
        <w:pStyle w:val="78"/>
        <w:spacing w:line="360" w:lineRule="auto"/>
        <w:ind w:firstLine="480" w:firstLineChars="200"/>
        <w:jc w:val="left"/>
        <w:rPr>
          <w:sz w:val="24"/>
          <w:szCs w:val="24"/>
        </w:rPr>
      </w:pPr>
      <w:r>
        <w:rPr>
          <w:sz w:val="24"/>
          <w:szCs w:val="24"/>
        </w:rPr>
        <w:t>上述各项合同文件包括合同当事人就该项合同文件所作出的补充和修改，属于同一类内容的文件，应以最新签署的为准。</w:t>
      </w:r>
    </w:p>
    <w:p w14:paraId="449AA5A3">
      <w:pPr>
        <w:pStyle w:val="78"/>
        <w:spacing w:line="360" w:lineRule="auto"/>
        <w:ind w:firstLine="480" w:firstLineChars="200"/>
        <w:jc w:val="left"/>
        <w:rPr>
          <w:sz w:val="24"/>
          <w:szCs w:val="24"/>
        </w:rPr>
      </w:pPr>
      <w:r>
        <w:rPr>
          <w:sz w:val="24"/>
          <w:szCs w:val="24"/>
        </w:rPr>
        <w:t>在合同订立及履行过程中形成的与合同有关的文件</w:t>
      </w:r>
      <w:r>
        <w:rPr>
          <w:rFonts w:hint="eastAsia"/>
          <w:sz w:val="24"/>
          <w:szCs w:val="24"/>
          <w:lang w:eastAsia="zh-CN"/>
        </w:rPr>
        <w:t>(</w:t>
      </w:r>
      <w:r>
        <w:rPr>
          <w:sz w:val="24"/>
          <w:szCs w:val="24"/>
        </w:rPr>
        <w:t>包括补充协议</w:t>
      </w:r>
      <w:r>
        <w:rPr>
          <w:rFonts w:hint="eastAsia"/>
          <w:sz w:val="24"/>
          <w:szCs w:val="24"/>
          <w:lang w:eastAsia="zh-CN"/>
        </w:rPr>
        <w:t>)</w:t>
      </w:r>
      <w:r>
        <w:rPr>
          <w:sz w:val="24"/>
          <w:szCs w:val="24"/>
        </w:rPr>
        <w:t>均构</w:t>
      </w:r>
    </w:p>
    <w:p w14:paraId="7BD137FA">
      <w:pPr>
        <w:spacing w:line="360" w:lineRule="auto"/>
        <w:rPr>
          <w:bCs/>
          <w:smallCaps/>
          <w:sz w:val="24"/>
        </w:rPr>
      </w:pPr>
      <w:r>
        <w:rPr>
          <w:sz w:val="24"/>
        </w:rPr>
        <w:t>成合同文件的组成部分。</w:t>
      </w:r>
    </w:p>
    <w:p w14:paraId="245D62E4">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b/>
          <w:bCs/>
        </w:rPr>
      </w:pPr>
      <w:bookmarkStart w:id="610" w:name="_Toc419045057"/>
      <w:bookmarkStart w:id="611" w:name="_Toc50456134"/>
      <w:bookmarkStart w:id="612" w:name="_Toc18579"/>
      <w:r>
        <w:rPr>
          <w:b/>
          <w:bCs/>
        </w:rPr>
        <w:t>七、</w:t>
      </w:r>
      <w:bookmarkStart w:id="613" w:name="8"/>
      <w:r>
        <w:rPr>
          <w:b/>
          <w:bCs/>
        </w:rPr>
        <w:t>词语</w:t>
      </w:r>
      <w:bookmarkEnd w:id="610"/>
      <w:r>
        <w:rPr>
          <w:b/>
          <w:bCs/>
        </w:rPr>
        <w:t>定义</w:t>
      </w:r>
      <w:bookmarkEnd w:id="611"/>
      <w:bookmarkEnd w:id="612"/>
    </w:p>
    <w:p w14:paraId="2DA77C0D">
      <w:pPr>
        <w:spacing w:line="360" w:lineRule="auto"/>
        <w:ind w:firstLine="480" w:firstLineChars="200"/>
        <w:rPr>
          <w:sz w:val="24"/>
        </w:rPr>
      </w:pPr>
      <w:r>
        <w:rPr>
          <w:sz w:val="24"/>
        </w:rPr>
        <w:t>协议书中相关词语的含义与通用条件中的定义与解释相同。</w:t>
      </w:r>
      <w:bookmarkEnd w:id="613"/>
    </w:p>
    <w:p w14:paraId="0D4ED38B">
      <w:pPr>
        <w:pStyle w:val="24"/>
        <w:spacing w:before="0" w:after="0" w:line="360" w:lineRule="auto"/>
        <w:ind w:firstLine="482" w:firstLineChars="200"/>
        <w:jc w:val="left"/>
        <w:outlineLvl w:val="9"/>
        <w:rPr>
          <w:rFonts w:ascii="Times New Roman" w:hAnsi="Times New Roman"/>
          <w:szCs w:val="24"/>
        </w:rPr>
      </w:pPr>
      <w:bookmarkStart w:id="614" w:name="_Toc419045063"/>
      <w:bookmarkStart w:id="615" w:name="_Toc50456135"/>
      <w:bookmarkStart w:id="616" w:name="_Toc6760"/>
      <w:r>
        <w:rPr>
          <w:rFonts w:ascii="Times New Roman" w:hAnsi="Times New Roman"/>
          <w:szCs w:val="24"/>
        </w:rPr>
        <w:t>八、合同订立</w:t>
      </w:r>
      <w:bookmarkEnd w:id="614"/>
      <w:bookmarkEnd w:id="615"/>
      <w:bookmarkEnd w:id="616"/>
    </w:p>
    <w:p w14:paraId="241646A7">
      <w:pPr>
        <w:pStyle w:val="78"/>
        <w:spacing w:line="360" w:lineRule="auto"/>
        <w:ind w:firstLine="480" w:firstLineChars="200"/>
        <w:rPr>
          <w:sz w:val="24"/>
          <w:szCs w:val="24"/>
        </w:rPr>
      </w:pPr>
      <w:r>
        <w:rPr>
          <w:sz w:val="24"/>
          <w:szCs w:val="24"/>
        </w:rPr>
        <w:t>1.订立时间：</w:t>
      </w:r>
      <w:r>
        <w:rPr>
          <w:sz w:val="24"/>
          <w:szCs w:val="24"/>
          <w:u w:val="single"/>
        </w:rPr>
        <w:t xml:space="preserve">    </w:t>
      </w:r>
      <w:r>
        <w:rPr>
          <w:sz w:val="24"/>
          <w:szCs w:val="24"/>
        </w:rPr>
        <w:t>年</w:t>
      </w:r>
      <w:r>
        <w:rPr>
          <w:sz w:val="24"/>
          <w:szCs w:val="24"/>
          <w:u w:val="single"/>
        </w:rPr>
        <w:t xml:space="preserve">    </w:t>
      </w:r>
      <w:r>
        <w:rPr>
          <w:sz w:val="24"/>
          <w:szCs w:val="24"/>
        </w:rPr>
        <w:t>月</w:t>
      </w:r>
      <w:r>
        <w:rPr>
          <w:sz w:val="24"/>
          <w:szCs w:val="24"/>
          <w:u w:val="single"/>
        </w:rPr>
        <w:t xml:space="preserve">    </w:t>
      </w:r>
      <w:r>
        <w:rPr>
          <w:sz w:val="24"/>
          <w:szCs w:val="24"/>
        </w:rPr>
        <w:t>日。</w:t>
      </w:r>
    </w:p>
    <w:p w14:paraId="05A12F44">
      <w:pPr>
        <w:pStyle w:val="78"/>
        <w:spacing w:line="360" w:lineRule="auto"/>
        <w:ind w:firstLine="480" w:firstLineChars="200"/>
        <w:rPr>
          <w:sz w:val="24"/>
          <w:szCs w:val="24"/>
        </w:rPr>
      </w:pPr>
      <w:r>
        <w:rPr>
          <w:sz w:val="24"/>
          <w:szCs w:val="24"/>
        </w:rPr>
        <w:t>2.订立地点：</w:t>
      </w:r>
      <w:r>
        <w:rPr>
          <w:sz w:val="24"/>
          <w:szCs w:val="24"/>
          <w:u w:val="single"/>
        </w:rPr>
        <w:t xml:space="preserve"> 四川省成都市新都区新都大道8号 </w:t>
      </w:r>
      <w:r>
        <w:rPr>
          <w:sz w:val="24"/>
          <w:szCs w:val="24"/>
        </w:rPr>
        <w:t>。</w:t>
      </w:r>
    </w:p>
    <w:p w14:paraId="139EF8D5">
      <w:pPr>
        <w:pStyle w:val="24"/>
        <w:spacing w:before="0" w:after="0" w:line="360" w:lineRule="auto"/>
        <w:ind w:firstLine="482" w:firstLineChars="200"/>
        <w:jc w:val="left"/>
        <w:outlineLvl w:val="9"/>
        <w:rPr>
          <w:rFonts w:ascii="Times New Roman" w:hAnsi="Times New Roman"/>
          <w:szCs w:val="24"/>
        </w:rPr>
      </w:pPr>
      <w:bookmarkStart w:id="617" w:name="_Toc50456136"/>
      <w:bookmarkStart w:id="618" w:name="_Toc419045064"/>
      <w:bookmarkStart w:id="619" w:name="_Toc12078"/>
      <w:r>
        <w:rPr>
          <w:rFonts w:ascii="Times New Roman" w:hAnsi="Times New Roman"/>
          <w:szCs w:val="24"/>
        </w:rPr>
        <w:t>九、合同生效</w:t>
      </w:r>
      <w:bookmarkEnd w:id="617"/>
      <w:bookmarkEnd w:id="618"/>
      <w:bookmarkEnd w:id="619"/>
    </w:p>
    <w:p w14:paraId="54BCAE89">
      <w:pPr>
        <w:pStyle w:val="78"/>
        <w:spacing w:line="360" w:lineRule="auto"/>
        <w:ind w:firstLine="480" w:firstLineChars="200"/>
        <w:rPr>
          <w:sz w:val="24"/>
          <w:szCs w:val="24"/>
        </w:rPr>
      </w:pPr>
      <w:r>
        <w:rPr>
          <w:sz w:val="24"/>
          <w:szCs w:val="24"/>
        </w:rPr>
        <w:t>本合同自</w:t>
      </w:r>
      <w:r>
        <w:rPr>
          <w:sz w:val="24"/>
          <w:szCs w:val="24"/>
          <w:u w:val="single"/>
        </w:rPr>
        <w:t>签订之日起</w:t>
      </w:r>
      <w:r>
        <w:rPr>
          <w:sz w:val="24"/>
          <w:szCs w:val="24"/>
        </w:rPr>
        <w:t>生效。</w:t>
      </w:r>
    </w:p>
    <w:p w14:paraId="6580AF95">
      <w:pPr>
        <w:pStyle w:val="24"/>
        <w:spacing w:before="0" w:after="0" w:line="360" w:lineRule="auto"/>
        <w:ind w:firstLine="482" w:firstLineChars="200"/>
        <w:jc w:val="left"/>
        <w:outlineLvl w:val="9"/>
        <w:rPr>
          <w:rFonts w:ascii="Times New Roman" w:hAnsi="Times New Roman"/>
          <w:szCs w:val="24"/>
        </w:rPr>
      </w:pPr>
      <w:bookmarkStart w:id="620" w:name="_Toc19772"/>
      <w:bookmarkStart w:id="621" w:name="_Toc50456137"/>
      <w:bookmarkStart w:id="622" w:name="_Toc419045065"/>
      <w:r>
        <w:rPr>
          <w:rFonts w:ascii="Times New Roman" w:hAnsi="Times New Roman"/>
          <w:szCs w:val="24"/>
        </w:rPr>
        <w:t>十、合同份数</w:t>
      </w:r>
      <w:bookmarkEnd w:id="620"/>
      <w:bookmarkEnd w:id="621"/>
      <w:bookmarkEnd w:id="622"/>
    </w:p>
    <w:p w14:paraId="14DCE3F6">
      <w:pPr>
        <w:pStyle w:val="78"/>
        <w:spacing w:line="360" w:lineRule="auto"/>
        <w:ind w:firstLine="480" w:firstLineChars="200"/>
        <w:rPr>
          <w:sz w:val="24"/>
          <w:szCs w:val="24"/>
        </w:rPr>
      </w:pPr>
      <w:r>
        <w:rPr>
          <w:sz w:val="24"/>
          <w:szCs w:val="24"/>
        </w:rPr>
        <w:t>本合同一式</w:t>
      </w:r>
      <w:r>
        <w:rPr>
          <w:sz w:val="24"/>
          <w:szCs w:val="24"/>
          <w:u w:val="single"/>
        </w:rPr>
        <w:t>捌</w:t>
      </w:r>
      <w:r>
        <w:rPr>
          <w:sz w:val="24"/>
          <w:szCs w:val="24"/>
        </w:rPr>
        <w:t>份，具有同等法律效力，其中委托人执</w:t>
      </w:r>
      <w:r>
        <w:rPr>
          <w:sz w:val="24"/>
          <w:szCs w:val="24"/>
          <w:u w:val="single"/>
        </w:rPr>
        <w:t>肆</w:t>
      </w:r>
      <w:r>
        <w:rPr>
          <w:sz w:val="24"/>
          <w:szCs w:val="24"/>
        </w:rPr>
        <w:t>份，咨询人执</w:t>
      </w:r>
      <w:r>
        <w:rPr>
          <w:sz w:val="24"/>
          <w:szCs w:val="24"/>
          <w:u w:val="single"/>
        </w:rPr>
        <w:t>肆</w:t>
      </w:r>
      <w:r>
        <w:rPr>
          <w:sz w:val="24"/>
          <w:szCs w:val="24"/>
        </w:rPr>
        <w:t>份。</w:t>
      </w:r>
    </w:p>
    <w:p w14:paraId="5133DCC9">
      <w:pPr>
        <w:pStyle w:val="78"/>
        <w:spacing w:line="360" w:lineRule="auto"/>
        <w:rPr>
          <w:sz w:val="24"/>
          <w:szCs w:val="24"/>
        </w:rPr>
      </w:pPr>
    </w:p>
    <w:tbl>
      <w:tblPr>
        <w:tblStyle w:val="2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71"/>
        <w:gridCol w:w="4249"/>
      </w:tblGrid>
      <w:tr w14:paraId="4C78C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trPr>
        <w:tc>
          <w:tcPr>
            <w:tcW w:w="2506" w:type="pct"/>
            <w:vAlign w:val="center"/>
          </w:tcPr>
          <w:p w14:paraId="4DA9DDD1">
            <w:pPr>
              <w:snapToGrid w:val="0"/>
            </w:pPr>
            <w:permStart w:id="0" w:edGrp="everyone" w:colFirst="0" w:colLast="0"/>
            <w:permStart w:id="1" w:edGrp="everyone" w:colFirst="1" w:colLast="1"/>
            <w:r>
              <w:rPr>
                <w:rFonts w:hAnsi="宋体"/>
                <w:sz w:val="24"/>
              </w:rPr>
              <w:t>甲方</w:t>
            </w:r>
            <w:r>
              <w:rPr>
                <w:rFonts w:hint="eastAsia"/>
                <w:sz w:val="24"/>
                <w:lang w:eastAsia="zh-CN"/>
              </w:rPr>
              <w:t>(</w:t>
            </w:r>
            <w:r>
              <w:rPr>
                <w:rFonts w:hAnsi="宋体"/>
                <w:sz w:val="24"/>
              </w:rPr>
              <w:t>章</w:t>
            </w:r>
            <w:r>
              <w:rPr>
                <w:rFonts w:hint="eastAsia"/>
                <w:sz w:val="24"/>
                <w:lang w:eastAsia="zh-CN"/>
              </w:rPr>
              <w:t>)</w:t>
            </w:r>
            <w:r>
              <w:rPr>
                <w:rFonts w:hint="eastAsia" w:hAnsi="宋体"/>
                <w:sz w:val="24"/>
              </w:rPr>
              <w:t>西南石油大学</w:t>
            </w:r>
          </w:p>
        </w:tc>
        <w:tc>
          <w:tcPr>
            <w:tcW w:w="2493" w:type="pct"/>
            <w:vAlign w:val="center"/>
          </w:tcPr>
          <w:p w14:paraId="08AF69C1">
            <w:pPr>
              <w:snapToGrid w:val="0"/>
              <w:rPr>
                <w:rFonts w:hint="eastAsia" w:eastAsia="宋体"/>
                <w:lang w:eastAsia="zh-CN"/>
              </w:rPr>
            </w:pPr>
            <w:r>
              <w:rPr>
                <w:rFonts w:hAnsi="宋体"/>
                <w:sz w:val="24"/>
              </w:rPr>
              <w:t>乙方</w:t>
            </w:r>
            <w:r>
              <w:rPr>
                <w:rFonts w:hint="eastAsia"/>
                <w:sz w:val="24"/>
                <w:lang w:eastAsia="zh-CN"/>
              </w:rPr>
              <w:t>(</w:t>
            </w:r>
            <w:r>
              <w:rPr>
                <w:rFonts w:hAnsi="宋体"/>
                <w:sz w:val="24"/>
              </w:rPr>
              <w:t>章</w:t>
            </w:r>
            <w:r>
              <w:rPr>
                <w:rFonts w:hint="eastAsia"/>
                <w:sz w:val="24"/>
                <w:lang w:eastAsia="zh-CN"/>
              </w:rPr>
              <w:t>)</w:t>
            </w:r>
          </w:p>
        </w:tc>
      </w:tr>
      <w:permEnd w:id="0"/>
      <w:permEnd w:id="1"/>
      <w:tr w14:paraId="5BB1D3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506" w:type="pct"/>
            <w:vAlign w:val="center"/>
          </w:tcPr>
          <w:p w14:paraId="509920D6">
            <w:pPr>
              <w:snapToGrid w:val="0"/>
              <w:ind w:left="1200" w:hanging="1200" w:hangingChars="500"/>
              <w:rPr>
                <w:rFonts w:hint="eastAsia" w:hAnsi="宋体"/>
              </w:rPr>
            </w:pPr>
            <w:r>
              <w:rPr>
                <w:rFonts w:hAnsi="宋体"/>
                <w:sz w:val="24"/>
              </w:rPr>
              <w:t>单位地址：</w:t>
            </w:r>
            <w:permStart w:id="2" w:edGrp="everyone"/>
            <w:r>
              <w:rPr>
                <w:rFonts w:hint="eastAsia" w:hAnsi="宋体"/>
                <w:sz w:val="24"/>
              </w:rPr>
              <w:t>成都市新都区新都大道8</w:t>
            </w:r>
            <w:r>
              <w:rPr>
                <w:rFonts w:hAnsi="宋体"/>
                <w:sz w:val="24"/>
              </w:rPr>
              <w:t>5</w:t>
            </w:r>
            <w:r>
              <w:rPr>
                <w:rFonts w:hint="eastAsia" w:hAnsi="宋体"/>
                <w:sz w:val="24"/>
              </w:rPr>
              <w:t>号</w:t>
            </w:r>
            <w:permEnd w:id="2"/>
          </w:p>
        </w:tc>
        <w:tc>
          <w:tcPr>
            <w:tcW w:w="2493" w:type="pct"/>
            <w:vAlign w:val="center"/>
          </w:tcPr>
          <w:p w14:paraId="1D8D95A0">
            <w:pPr>
              <w:snapToGrid w:val="0"/>
            </w:pPr>
            <w:r>
              <w:rPr>
                <w:rFonts w:hAnsi="宋体"/>
                <w:sz w:val="24"/>
              </w:rPr>
              <w:t>单位地址：</w:t>
            </w:r>
            <w:permStart w:id="3" w:edGrp="everyone"/>
            <w:r>
              <w:rPr>
                <w:rFonts w:hint="eastAsia" w:hAnsi="宋体"/>
                <w:sz w:val="24"/>
                <w:lang w:val="en-US" w:eastAsia="zh-CN"/>
              </w:rPr>
              <w:t xml:space="preserve">  </w:t>
            </w:r>
            <w:r>
              <w:rPr>
                <w:rFonts w:hint="eastAsia" w:hAnsi="宋体"/>
                <w:sz w:val="24"/>
              </w:rPr>
              <w:t xml:space="preserve"> </w:t>
            </w:r>
            <w:permEnd w:id="3"/>
          </w:p>
        </w:tc>
      </w:tr>
      <w:tr w14:paraId="615CF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0" w:hRule="atLeast"/>
        </w:trPr>
        <w:tc>
          <w:tcPr>
            <w:tcW w:w="2506" w:type="pct"/>
            <w:vAlign w:val="center"/>
          </w:tcPr>
          <w:p w14:paraId="500A9336">
            <w:pPr>
              <w:snapToGrid w:val="0"/>
              <w:rPr>
                <w:rFonts w:hint="eastAsia" w:hAnsi="宋体"/>
              </w:rPr>
            </w:pPr>
            <w:r>
              <w:rPr>
                <w:rFonts w:hAnsi="宋体"/>
                <w:sz w:val="24"/>
              </w:rPr>
              <w:t>法定代表人</w:t>
            </w:r>
            <w:r>
              <w:rPr>
                <w:rFonts w:hint="eastAsia"/>
                <w:sz w:val="24"/>
                <w:lang w:eastAsia="zh-CN"/>
              </w:rPr>
              <w:t>(</w:t>
            </w:r>
            <w:r>
              <w:rPr>
                <w:rFonts w:hint="eastAsia" w:hAnsi="宋体"/>
                <w:sz w:val="24"/>
              </w:rPr>
              <w:t>或</w:t>
            </w:r>
            <w:r>
              <w:rPr>
                <w:rFonts w:hAnsi="宋体"/>
                <w:sz w:val="24"/>
              </w:rPr>
              <w:t>委托代理人</w:t>
            </w:r>
            <w:r>
              <w:rPr>
                <w:rFonts w:hint="eastAsia"/>
                <w:sz w:val="24"/>
                <w:lang w:eastAsia="zh-CN"/>
              </w:rPr>
              <w:t>)(</w:t>
            </w:r>
            <w:r>
              <w:rPr>
                <w:rFonts w:hint="eastAsia" w:hAnsi="宋体"/>
                <w:sz w:val="24"/>
              </w:rPr>
              <w:t>签字</w:t>
            </w:r>
            <w:r>
              <w:rPr>
                <w:rFonts w:hint="eastAsia"/>
                <w:sz w:val="24"/>
                <w:lang w:eastAsia="zh-CN"/>
              </w:rPr>
              <w:t>)</w:t>
            </w:r>
            <w:r>
              <w:rPr>
                <w:rFonts w:hAnsi="宋体"/>
                <w:sz w:val="24"/>
              </w:rPr>
              <w:t>：</w:t>
            </w:r>
            <w:permStart w:id="4" w:edGrp="everyone"/>
            <w:r>
              <w:rPr>
                <w:rFonts w:hint="eastAsia" w:hAnsi="宋体"/>
                <w:sz w:val="24"/>
              </w:rPr>
              <w:t xml:space="preserve"> </w:t>
            </w:r>
            <w:permEnd w:id="4"/>
          </w:p>
        </w:tc>
        <w:tc>
          <w:tcPr>
            <w:tcW w:w="2493" w:type="pct"/>
            <w:vAlign w:val="center"/>
          </w:tcPr>
          <w:p w14:paraId="40BE58AE">
            <w:pPr>
              <w:snapToGrid w:val="0"/>
              <w:rPr>
                <w:rFonts w:hint="eastAsia" w:hAnsi="宋体"/>
              </w:rPr>
            </w:pPr>
            <w:r>
              <w:rPr>
                <w:rFonts w:hAnsi="宋体"/>
                <w:sz w:val="24"/>
              </w:rPr>
              <w:t>法定代表人</w:t>
            </w:r>
            <w:r>
              <w:rPr>
                <w:rFonts w:hint="eastAsia"/>
                <w:sz w:val="24"/>
                <w:lang w:eastAsia="zh-CN"/>
              </w:rPr>
              <w:t>(</w:t>
            </w:r>
            <w:r>
              <w:rPr>
                <w:rFonts w:hint="eastAsia" w:hAnsi="宋体"/>
                <w:sz w:val="24"/>
              </w:rPr>
              <w:t>或委托代理人</w:t>
            </w:r>
            <w:r>
              <w:rPr>
                <w:rFonts w:hint="eastAsia"/>
                <w:sz w:val="24"/>
                <w:lang w:eastAsia="zh-CN"/>
              </w:rPr>
              <w:t>)(</w:t>
            </w:r>
            <w:r>
              <w:rPr>
                <w:rFonts w:hint="eastAsia" w:hAnsi="宋体"/>
                <w:sz w:val="24"/>
              </w:rPr>
              <w:t>签字</w:t>
            </w:r>
            <w:r>
              <w:rPr>
                <w:rFonts w:hint="eastAsia"/>
                <w:sz w:val="24"/>
                <w:lang w:eastAsia="zh-CN"/>
              </w:rPr>
              <w:t>)</w:t>
            </w:r>
            <w:r>
              <w:rPr>
                <w:rFonts w:hAnsi="宋体"/>
                <w:sz w:val="24"/>
              </w:rPr>
              <w:t>：</w:t>
            </w:r>
            <w:permStart w:id="5" w:edGrp="everyone"/>
            <w:r>
              <w:rPr>
                <w:rFonts w:hint="eastAsia" w:hAnsi="宋体"/>
                <w:sz w:val="24"/>
              </w:rPr>
              <w:t xml:space="preserve"> </w:t>
            </w:r>
            <w:permEnd w:id="5"/>
          </w:p>
        </w:tc>
      </w:tr>
      <w:tr w14:paraId="66541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0" w:hRule="atLeast"/>
        </w:trPr>
        <w:tc>
          <w:tcPr>
            <w:tcW w:w="2506" w:type="pct"/>
            <w:vAlign w:val="center"/>
          </w:tcPr>
          <w:p w14:paraId="45B49F69">
            <w:pPr>
              <w:snapToGrid w:val="0"/>
              <w:rPr>
                <w:rFonts w:hint="eastAsia" w:hAnsi="宋体"/>
                <w:sz w:val="24"/>
                <w:szCs w:val="24"/>
              </w:rPr>
            </w:pPr>
            <w:r>
              <w:rPr>
                <w:rFonts w:hint="eastAsia" w:hAnsi="宋体"/>
                <w:sz w:val="24"/>
                <w:szCs w:val="24"/>
              </w:rPr>
              <w:t>经办人：</w:t>
            </w:r>
            <w:permStart w:id="6" w:edGrp="everyone"/>
            <w:r>
              <w:rPr>
                <w:rFonts w:hAnsi="宋体"/>
                <w:sz w:val="24"/>
                <w:szCs w:val="24"/>
              </w:rPr>
              <w:t xml:space="preserve">  </w:t>
            </w:r>
            <w:permEnd w:id="6"/>
          </w:p>
        </w:tc>
        <w:tc>
          <w:tcPr>
            <w:tcW w:w="2493" w:type="pct"/>
            <w:vAlign w:val="center"/>
          </w:tcPr>
          <w:p w14:paraId="3D544E7E">
            <w:pPr>
              <w:snapToGrid w:val="0"/>
              <w:rPr>
                <w:rFonts w:hint="eastAsia" w:hAnsi="宋体"/>
                <w:sz w:val="24"/>
              </w:rPr>
            </w:pPr>
            <w:r>
              <w:rPr>
                <w:rFonts w:hint="eastAsia" w:hAnsi="宋体"/>
                <w:sz w:val="24"/>
              </w:rPr>
              <w:t>经办人：</w:t>
            </w:r>
          </w:p>
        </w:tc>
      </w:tr>
      <w:tr w14:paraId="3F889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506" w:type="pct"/>
            <w:vAlign w:val="center"/>
          </w:tcPr>
          <w:p w14:paraId="44428E0A">
            <w:pPr>
              <w:snapToGrid w:val="0"/>
              <w:rPr>
                <w:sz w:val="24"/>
                <w:szCs w:val="24"/>
              </w:rPr>
            </w:pPr>
            <w:r>
              <w:rPr>
                <w:rFonts w:hint="eastAsia" w:hAnsi="宋体"/>
                <w:sz w:val="24"/>
                <w:szCs w:val="24"/>
              </w:rPr>
              <w:t>采购申请人：</w:t>
            </w:r>
            <w:permStart w:id="7" w:edGrp="everyone"/>
            <w:r>
              <w:rPr>
                <w:rFonts w:hAnsi="宋体"/>
                <w:sz w:val="24"/>
                <w:szCs w:val="24"/>
              </w:rPr>
              <w:t xml:space="preserve">  </w:t>
            </w:r>
            <w:permEnd w:id="7"/>
          </w:p>
        </w:tc>
        <w:tc>
          <w:tcPr>
            <w:tcW w:w="2493" w:type="pct"/>
            <w:vAlign w:val="center"/>
          </w:tcPr>
          <w:p w14:paraId="484FFC22">
            <w:pPr>
              <w:snapToGrid w:val="0"/>
            </w:pPr>
            <w:r>
              <w:rPr>
                <w:rFonts w:hAnsi="宋体"/>
                <w:sz w:val="24"/>
              </w:rPr>
              <w:t>电话：</w:t>
            </w:r>
            <w:permStart w:id="8" w:edGrp="everyone"/>
            <w:r>
              <w:rPr>
                <w:rFonts w:hint="eastAsia" w:hAnsi="宋体"/>
                <w:sz w:val="24"/>
                <w:lang w:val="en-US" w:eastAsia="zh-CN"/>
              </w:rPr>
              <w:t xml:space="preserve">  </w:t>
            </w:r>
            <w:r>
              <w:rPr>
                <w:rFonts w:hint="eastAsia" w:hAnsi="宋体"/>
                <w:sz w:val="24"/>
              </w:rPr>
              <w:t xml:space="preserve"> </w:t>
            </w:r>
            <w:permEnd w:id="8"/>
          </w:p>
        </w:tc>
      </w:tr>
      <w:tr w14:paraId="36BEA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506" w:type="pct"/>
            <w:vAlign w:val="center"/>
          </w:tcPr>
          <w:p w14:paraId="7526CF66">
            <w:pPr>
              <w:snapToGrid w:val="0"/>
              <w:rPr>
                <w:sz w:val="24"/>
                <w:szCs w:val="24"/>
              </w:rPr>
            </w:pPr>
            <w:r>
              <w:rPr>
                <w:rFonts w:hAnsi="宋体"/>
                <w:sz w:val="24"/>
                <w:szCs w:val="24"/>
              </w:rPr>
              <w:t>电子邮箱：</w:t>
            </w:r>
            <w:permStart w:id="9" w:edGrp="everyone"/>
            <w:r>
              <w:rPr>
                <w:rFonts w:hint="eastAsia" w:hAnsi="宋体"/>
                <w:sz w:val="24"/>
                <w:szCs w:val="24"/>
              </w:rPr>
              <w:t xml:space="preserve"> </w:t>
            </w:r>
            <w:r>
              <w:rPr>
                <w:rFonts w:hAnsi="宋体"/>
                <w:sz w:val="24"/>
                <w:szCs w:val="24"/>
              </w:rPr>
              <w:t xml:space="preserve"> </w:t>
            </w:r>
            <w:permEnd w:id="9"/>
          </w:p>
        </w:tc>
        <w:tc>
          <w:tcPr>
            <w:tcW w:w="2493" w:type="pct"/>
            <w:vAlign w:val="center"/>
          </w:tcPr>
          <w:p w14:paraId="6CEF633B">
            <w:pPr>
              <w:snapToGrid w:val="0"/>
            </w:pPr>
            <w:r>
              <w:rPr>
                <w:rFonts w:hAnsi="宋体"/>
                <w:sz w:val="24"/>
              </w:rPr>
              <w:t>电子邮箱：</w:t>
            </w:r>
            <w:permStart w:id="10" w:edGrp="everyone"/>
            <w:r>
              <w:rPr>
                <w:rFonts w:hint="eastAsia" w:hAnsi="宋体"/>
                <w:sz w:val="24"/>
                <w:lang w:val="en-US" w:eastAsia="zh-CN"/>
              </w:rPr>
              <w:t xml:space="preserve">  </w:t>
            </w:r>
            <w:r>
              <w:rPr>
                <w:rFonts w:hint="eastAsia" w:hAnsi="宋体"/>
                <w:sz w:val="24"/>
              </w:rPr>
              <w:t xml:space="preserve"> </w:t>
            </w:r>
            <w:permEnd w:id="10"/>
          </w:p>
        </w:tc>
      </w:tr>
      <w:tr w14:paraId="0FD10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506" w:type="pct"/>
            <w:vAlign w:val="center"/>
          </w:tcPr>
          <w:p w14:paraId="4BFC8F28">
            <w:pPr>
              <w:snapToGrid w:val="0"/>
              <w:rPr>
                <w:sz w:val="24"/>
                <w:szCs w:val="24"/>
              </w:rPr>
            </w:pPr>
            <w:r>
              <w:rPr>
                <w:rFonts w:hAnsi="宋体"/>
                <w:sz w:val="24"/>
                <w:szCs w:val="24"/>
              </w:rPr>
              <w:t>开户银行：</w:t>
            </w:r>
            <w:r>
              <w:rPr>
                <w:sz w:val="24"/>
                <w:szCs w:val="24"/>
              </w:rPr>
              <w:t xml:space="preserve"> </w:t>
            </w:r>
            <w:permStart w:id="11" w:edGrp="everyone"/>
            <w:r>
              <w:rPr>
                <w:rFonts w:hint="eastAsia" w:hAnsi="宋体"/>
                <w:sz w:val="24"/>
                <w:szCs w:val="24"/>
              </w:rPr>
              <w:t xml:space="preserve"> </w:t>
            </w:r>
            <w:r>
              <w:rPr>
                <w:rFonts w:hAnsi="宋体"/>
                <w:sz w:val="24"/>
                <w:szCs w:val="24"/>
              </w:rPr>
              <w:t xml:space="preserve"> </w:t>
            </w:r>
            <w:r>
              <w:rPr>
                <w:rFonts w:hint="eastAsia" w:hAnsi="宋体"/>
                <w:sz w:val="24"/>
                <w:szCs w:val="24"/>
              </w:rPr>
              <w:t xml:space="preserve"> </w:t>
            </w:r>
            <w:permEnd w:id="11"/>
          </w:p>
        </w:tc>
        <w:tc>
          <w:tcPr>
            <w:tcW w:w="2493" w:type="pct"/>
            <w:vAlign w:val="center"/>
          </w:tcPr>
          <w:p w14:paraId="330CDEED">
            <w:pPr>
              <w:snapToGrid w:val="0"/>
              <w:rPr>
                <w:rFonts w:hint="default" w:eastAsia="宋体"/>
                <w:lang w:val="en-US" w:eastAsia="zh-CN"/>
              </w:rPr>
            </w:pPr>
            <w:r>
              <w:rPr>
                <w:rFonts w:hAnsi="宋体"/>
                <w:sz w:val="24"/>
              </w:rPr>
              <w:t>开户银行：</w:t>
            </w:r>
            <w:permStart w:id="12" w:edGrp="everyone"/>
            <w:r>
              <w:rPr>
                <w:rFonts w:hint="eastAsia" w:hAnsi="宋体"/>
                <w:sz w:val="24"/>
              </w:rPr>
              <w:t xml:space="preserve"> </w:t>
            </w:r>
            <w:r>
              <w:rPr>
                <w:rFonts w:hint="eastAsia" w:hAnsi="宋体"/>
                <w:sz w:val="24"/>
                <w:lang w:val="en-US" w:eastAsia="zh-CN"/>
              </w:rPr>
              <w:t xml:space="preserve">  </w:t>
            </w:r>
            <w:permEnd w:id="12"/>
          </w:p>
        </w:tc>
      </w:tr>
      <w:tr w14:paraId="38F523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506" w:type="pct"/>
            <w:vAlign w:val="center"/>
          </w:tcPr>
          <w:p w14:paraId="61B052ED">
            <w:pPr>
              <w:snapToGrid w:val="0"/>
              <w:rPr>
                <w:sz w:val="24"/>
                <w:szCs w:val="24"/>
              </w:rPr>
            </w:pPr>
            <w:r>
              <w:rPr>
                <w:rFonts w:hAnsi="宋体"/>
                <w:sz w:val="24"/>
                <w:szCs w:val="24"/>
              </w:rPr>
              <w:t>账号：</w:t>
            </w:r>
            <w:permStart w:id="13" w:edGrp="everyone"/>
            <w:r>
              <w:rPr>
                <w:rFonts w:hint="eastAsia" w:hAnsi="宋体"/>
                <w:sz w:val="24"/>
                <w:szCs w:val="24"/>
              </w:rPr>
              <w:t xml:space="preserve">  </w:t>
            </w:r>
            <w:permEnd w:id="13"/>
          </w:p>
        </w:tc>
        <w:tc>
          <w:tcPr>
            <w:tcW w:w="2493" w:type="pct"/>
            <w:vAlign w:val="center"/>
          </w:tcPr>
          <w:p w14:paraId="446A3161">
            <w:pPr>
              <w:snapToGrid w:val="0"/>
            </w:pPr>
            <w:r>
              <w:rPr>
                <w:rFonts w:hAnsi="宋体"/>
                <w:sz w:val="24"/>
              </w:rPr>
              <w:t>账号：</w:t>
            </w:r>
            <w:permStart w:id="14" w:edGrp="everyone"/>
            <w:r>
              <w:rPr>
                <w:rFonts w:hint="eastAsia" w:hAnsi="宋体"/>
                <w:sz w:val="24"/>
                <w:lang w:val="en-US" w:eastAsia="zh-CN"/>
              </w:rPr>
              <w:t xml:space="preserve">  </w:t>
            </w:r>
            <w:r>
              <w:rPr>
                <w:rFonts w:hint="eastAsia" w:hAnsi="宋体"/>
                <w:sz w:val="24"/>
              </w:rPr>
              <w:t xml:space="preserve"> </w:t>
            </w:r>
            <w:permEnd w:id="14"/>
          </w:p>
        </w:tc>
      </w:tr>
      <w:tr w14:paraId="6A3A7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506" w:type="pct"/>
            <w:vAlign w:val="center"/>
          </w:tcPr>
          <w:p w14:paraId="2F623689">
            <w:pPr>
              <w:snapToGrid w:val="0"/>
              <w:rPr>
                <w:sz w:val="24"/>
                <w:szCs w:val="24"/>
              </w:rPr>
            </w:pPr>
            <w:r>
              <w:rPr>
                <w:rFonts w:hAnsi="宋体"/>
                <w:sz w:val="24"/>
                <w:szCs w:val="24"/>
              </w:rPr>
              <w:t>邮政编码：</w:t>
            </w:r>
            <w:permStart w:id="15" w:edGrp="everyone"/>
            <w:r>
              <w:rPr>
                <w:rFonts w:hint="eastAsia" w:hAnsi="宋体"/>
                <w:sz w:val="24"/>
                <w:szCs w:val="24"/>
              </w:rPr>
              <w:t xml:space="preserve"> </w:t>
            </w:r>
            <w:r>
              <w:rPr>
                <w:rFonts w:hAnsi="宋体"/>
                <w:sz w:val="24"/>
                <w:szCs w:val="24"/>
              </w:rPr>
              <w:t xml:space="preserve"> </w:t>
            </w:r>
            <w:r>
              <w:rPr>
                <w:rFonts w:hint="eastAsia" w:hAnsi="宋体"/>
                <w:sz w:val="24"/>
                <w:szCs w:val="24"/>
              </w:rPr>
              <w:t xml:space="preserve"> </w:t>
            </w:r>
            <w:permEnd w:id="15"/>
          </w:p>
        </w:tc>
        <w:tc>
          <w:tcPr>
            <w:tcW w:w="2493" w:type="pct"/>
            <w:vAlign w:val="center"/>
          </w:tcPr>
          <w:p w14:paraId="65D2FCD6">
            <w:pPr>
              <w:snapToGrid w:val="0"/>
              <w:rPr>
                <w:rFonts w:hint="default"/>
                <w:lang w:val="en-US"/>
              </w:rPr>
            </w:pPr>
            <w:r>
              <w:rPr>
                <w:rFonts w:hAnsi="宋体"/>
                <w:sz w:val="24"/>
              </w:rPr>
              <w:t>邮政编码：</w:t>
            </w:r>
            <w:permStart w:id="16" w:edGrp="everyone"/>
            <w:r>
              <w:rPr>
                <w:rFonts w:hint="eastAsia" w:hAnsi="宋体"/>
                <w:sz w:val="24"/>
                <w:lang w:val="en-US" w:eastAsia="zh-CN"/>
              </w:rPr>
              <w:t xml:space="preserve">  </w:t>
            </w:r>
            <w:permEnd w:id="16"/>
          </w:p>
        </w:tc>
      </w:tr>
      <w:tr w14:paraId="12AFA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2506" w:type="pct"/>
            <w:vAlign w:val="center"/>
          </w:tcPr>
          <w:p w14:paraId="606C1C67">
            <w:pPr>
              <w:snapToGrid w:val="0"/>
              <w:rPr>
                <w:rFonts w:hint="eastAsia" w:hAnsi="宋体"/>
                <w:sz w:val="24"/>
              </w:rPr>
            </w:pPr>
            <w:r>
              <w:rPr>
                <w:rFonts w:hint="eastAsia" w:hAnsi="宋体"/>
                <w:sz w:val="24"/>
              </w:rPr>
              <w:t xml:space="preserve">日期： </w:t>
            </w:r>
            <w:r>
              <w:rPr>
                <w:rFonts w:hAnsi="宋体"/>
                <w:sz w:val="24"/>
              </w:rPr>
              <w:t xml:space="preserve">  年</w:t>
            </w:r>
            <w:r>
              <w:rPr>
                <w:sz w:val="24"/>
              </w:rPr>
              <w:t xml:space="preserve">       </w:t>
            </w:r>
            <w:r>
              <w:rPr>
                <w:rFonts w:hAnsi="宋体"/>
                <w:sz w:val="24"/>
              </w:rPr>
              <w:t>日</w:t>
            </w:r>
          </w:p>
        </w:tc>
        <w:tc>
          <w:tcPr>
            <w:tcW w:w="2493" w:type="pct"/>
            <w:vAlign w:val="center"/>
          </w:tcPr>
          <w:p w14:paraId="2E8A8225">
            <w:pPr>
              <w:snapToGrid w:val="0"/>
              <w:rPr>
                <w:rFonts w:hint="eastAsia" w:hAnsi="宋体"/>
                <w:sz w:val="24"/>
              </w:rPr>
            </w:pPr>
            <w:r>
              <w:rPr>
                <w:rFonts w:hint="eastAsia" w:hAnsi="宋体"/>
                <w:sz w:val="24"/>
              </w:rPr>
              <w:t xml:space="preserve">日期： </w:t>
            </w:r>
            <w:r>
              <w:rPr>
                <w:rFonts w:hAnsi="宋体"/>
                <w:sz w:val="24"/>
              </w:rPr>
              <w:t xml:space="preserve">  年</w:t>
            </w:r>
            <w:r>
              <w:rPr>
                <w:sz w:val="24"/>
              </w:rPr>
              <w:t xml:space="preserve">   </w:t>
            </w:r>
            <w:r>
              <w:rPr>
                <w:rFonts w:hAnsi="宋体"/>
                <w:sz w:val="24"/>
              </w:rPr>
              <w:t>月</w:t>
            </w:r>
            <w:r>
              <w:rPr>
                <w:sz w:val="24"/>
              </w:rPr>
              <w:t xml:space="preserve">   </w:t>
            </w:r>
            <w:r>
              <w:rPr>
                <w:rFonts w:hAnsi="宋体"/>
                <w:sz w:val="24"/>
              </w:rPr>
              <w:t>日</w:t>
            </w:r>
          </w:p>
        </w:tc>
      </w:tr>
      <w:bookmarkEnd w:id="605"/>
    </w:tbl>
    <w:p w14:paraId="776C5B61">
      <w:pPr>
        <w:pStyle w:val="14"/>
        <w:rPr>
          <w:lang w:eastAsia="zh-Hans"/>
        </w:rPr>
      </w:pPr>
    </w:p>
    <w:p w14:paraId="1191BA64">
      <w:pPr>
        <w:pStyle w:val="14"/>
        <w:rPr>
          <w:lang w:eastAsia="zh-Hans"/>
        </w:rPr>
      </w:pPr>
    </w:p>
    <w:p w14:paraId="622B8EF6">
      <w:pPr>
        <w:pStyle w:val="14"/>
        <w:rPr>
          <w:lang w:eastAsia="zh-Hans"/>
        </w:rPr>
        <w:sectPr>
          <w:pgSz w:w="11906" w:h="16838"/>
          <w:pgMar w:top="1440" w:right="1800" w:bottom="1440" w:left="1800" w:header="851" w:footer="992" w:gutter="0"/>
          <w:pgNumType w:fmt="decimal"/>
          <w:cols w:space="0" w:num="1"/>
          <w:titlePg/>
          <w:docGrid w:linePitch="312" w:charSpace="0"/>
        </w:sectPr>
      </w:pPr>
    </w:p>
    <w:p w14:paraId="28D98904">
      <w:pPr>
        <w:pStyle w:val="78"/>
        <w:spacing w:line="360" w:lineRule="auto"/>
        <w:jc w:val="center"/>
        <w:rPr>
          <w:sz w:val="30"/>
          <w:szCs w:val="30"/>
        </w:rPr>
      </w:pPr>
      <w:bookmarkStart w:id="623" w:name="_Toc419045066"/>
      <w:r>
        <w:rPr>
          <w:b/>
          <w:bCs/>
          <w:sz w:val="30"/>
          <w:szCs w:val="30"/>
        </w:rPr>
        <w:t>第二部分</w:t>
      </w:r>
      <w:r>
        <w:rPr>
          <w:rFonts w:hint="eastAsia"/>
          <w:b/>
          <w:bCs/>
          <w:sz w:val="30"/>
          <w:szCs w:val="30"/>
        </w:rPr>
        <w:t xml:space="preserve"> 通</w:t>
      </w:r>
      <w:r>
        <w:rPr>
          <w:b/>
          <w:bCs/>
          <w:sz w:val="30"/>
          <w:szCs w:val="30"/>
        </w:rPr>
        <w:t>用条件</w:t>
      </w:r>
      <w:bookmarkEnd w:id="623"/>
    </w:p>
    <w:p w14:paraId="3C6A28DC">
      <w:pPr>
        <w:pStyle w:val="24"/>
        <w:spacing w:before="0" w:after="0" w:line="360" w:lineRule="auto"/>
        <w:ind w:firstLine="482" w:firstLineChars="200"/>
        <w:jc w:val="left"/>
        <w:outlineLvl w:val="9"/>
        <w:rPr>
          <w:rFonts w:ascii="Times New Roman" w:hAnsi="Times New Roman"/>
          <w:szCs w:val="24"/>
        </w:rPr>
      </w:pPr>
      <w:bookmarkStart w:id="624" w:name="_Toc11361"/>
      <w:bookmarkStart w:id="625" w:name="_Toc50456138"/>
      <w:bookmarkStart w:id="626" w:name="_Toc419045067"/>
      <w:r>
        <w:rPr>
          <w:rFonts w:ascii="Times New Roman" w:hAnsi="Times New Roman"/>
          <w:szCs w:val="24"/>
        </w:rPr>
        <w:t>1.词语定义、语言、解释顺序与适用法律</w:t>
      </w:r>
      <w:bookmarkEnd w:id="624"/>
      <w:bookmarkEnd w:id="625"/>
      <w:bookmarkEnd w:id="626"/>
    </w:p>
    <w:p w14:paraId="4FAE418F">
      <w:pPr>
        <w:pStyle w:val="20"/>
        <w:ind w:firstLine="480" w:firstLineChars="200"/>
        <w:jc w:val="left"/>
        <w:outlineLvl w:val="9"/>
        <w:rPr>
          <w:rFonts w:ascii="Times New Roman" w:hAnsi="Times New Roman"/>
          <w:b w:val="0"/>
          <w:sz w:val="24"/>
          <w:szCs w:val="24"/>
        </w:rPr>
      </w:pPr>
      <w:bookmarkStart w:id="627" w:name="_Toc14264"/>
      <w:bookmarkStart w:id="628" w:name="_Toc419045068"/>
      <w:bookmarkStart w:id="629" w:name="_Toc50456139"/>
      <w:r>
        <w:rPr>
          <w:rFonts w:ascii="Times New Roman" w:hAnsi="Times New Roman"/>
          <w:b w:val="0"/>
          <w:sz w:val="24"/>
          <w:szCs w:val="24"/>
        </w:rPr>
        <w:t>1.1词语定义</w:t>
      </w:r>
      <w:bookmarkEnd w:id="627"/>
      <w:bookmarkEnd w:id="628"/>
      <w:bookmarkEnd w:id="629"/>
    </w:p>
    <w:p w14:paraId="6B15E948">
      <w:pPr>
        <w:spacing w:line="360" w:lineRule="auto"/>
        <w:ind w:firstLine="480" w:firstLineChars="200"/>
        <w:rPr>
          <w:sz w:val="24"/>
        </w:rPr>
      </w:pPr>
      <w:r>
        <w:rPr>
          <w:sz w:val="24"/>
        </w:rPr>
        <w:t>组成本合同的全部文件中的下列名词和用语应具有本款所赋予的含义：</w:t>
      </w:r>
    </w:p>
    <w:p w14:paraId="42A3634C">
      <w:pPr>
        <w:pStyle w:val="78"/>
        <w:spacing w:line="360" w:lineRule="auto"/>
        <w:ind w:firstLine="480" w:firstLineChars="200"/>
        <w:jc w:val="left"/>
        <w:rPr>
          <w:sz w:val="24"/>
          <w:szCs w:val="24"/>
        </w:rPr>
      </w:pPr>
      <w:r>
        <w:rPr>
          <w:sz w:val="24"/>
          <w:szCs w:val="24"/>
        </w:rPr>
        <w:t xml:space="preserve">1.1.1“工程”是指按照本合同约定实施造价咨询与其他服务的建设工程。    </w:t>
      </w:r>
    </w:p>
    <w:p w14:paraId="11252311">
      <w:pPr>
        <w:pStyle w:val="78"/>
        <w:spacing w:line="360" w:lineRule="auto"/>
        <w:ind w:firstLine="480" w:firstLineChars="200"/>
        <w:jc w:val="left"/>
        <w:rPr>
          <w:sz w:val="24"/>
          <w:szCs w:val="24"/>
        </w:rPr>
      </w:pPr>
      <w:r>
        <w:rPr>
          <w:sz w:val="24"/>
          <w:szCs w:val="24"/>
        </w:rPr>
        <w:t>1.1.2“工程造价”是指工程项目建设过程中预计或实际支出的全部费用。</w:t>
      </w:r>
    </w:p>
    <w:p w14:paraId="58BF0F74">
      <w:pPr>
        <w:pStyle w:val="78"/>
        <w:spacing w:line="360" w:lineRule="auto"/>
        <w:ind w:firstLine="480" w:firstLineChars="200"/>
        <w:jc w:val="left"/>
        <w:rPr>
          <w:sz w:val="24"/>
          <w:szCs w:val="24"/>
        </w:rPr>
      </w:pPr>
      <w:r>
        <w:rPr>
          <w:sz w:val="24"/>
          <w:szCs w:val="24"/>
        </w:rPr>
        <w:t>1.1.3“委托人”是指本合同中委托造价咨询与其他服务的一方，及其合法的继承人或受让人。</w:t>
      </w:r>
    </w:p>
    <w:p w14:paraId="34C0AB89">
      <w:pPr>
        <w:pStyle w:val="78"/>
        <w:spacing w:line="360" w:lineRule="auto"/>
        <w:ind w:firstLine="480" w:firstLineChars="200"/>
        <w:jc w:val="left"/>
        <w:rPr>
          <w:sz w:val="24"/>
          <w:szCs w:val="24"/>
        </w:rPr>
      </w:pPr>
      <w:r>
        <w:rPr>
          <w:sz w:val="24"/>
          <w:szCs w:val="24"/>
        </w:rPr>
        <w:t>1.1.4“咨询人”是指本合同中提供造价咨询与其他服务的一方</w:t>
      </w:r>
      <w:r>
        <w:rPr>
          <w:b/>
          <w:bCs/>
          <w:sz w:val="24"/>
          <w:szCs w:val="24"/>
        </w:rPr>
        <w:t>，</w:t>
      </w:r>
      <w:r>
        <w:rPr>
          <w:sz w:val="24"/>
          <w:szCs w:val="24"/>
        </w:rPr>
        <w:t>及其合法的继承人。</w:t>
      </w:r>
      <w:r>
        <w:rPr>
          <w:sz w:val="24"/>
          <w:szCs w:val="24"/>
        </w:rPr>
        <w:br w:type="textWrapping"/>
      </w:r>
      <w:r>
        <w:rPr>
          <w:sz w:val="24"/>
          <w:szCs w:val="24"/>
        </w:rPr>
        <w:t xml:space="preserve">    1.1.5“第三人”是指除委托人、咨询人以外与本咨询业务有关的当事人。</w:t>
      </w:r>
    </w:p>
    <w:p w14:paraId="5E816ACE">
      <w:pPr>
        <w:pStyle w:val="78"/>
        <w:spacing w:line="360" w:lineRule="auto"/>
        <w:ind w:firstLine="480" w:firstLineChars="200"/>
        <w:jc w:val="left"/>
        <w:rPr>
          <w:sz w:val="24"/>
          <w:szCs w:val="24"/>
        </w:rPr>
      </w:pPr>
      <w:r>
        <w:rPr>
          <w:sz w:val="24"/>
          <w:szCs w:val="24"/>
        </w:rPr>
        <w:t>1.1.6“正常工作”是指本合同订立时通用条件和专用条件中约定的咨询人的工作。</w:t>
      </w:r>
    </w:p>
    <w:p w14:paraId="25EB37FB">
      <w:pPr>
        <w:pStyle w:val="78"/>
        <w:spacing w:line="360" w:lineRule="auto"/>
        <w:ind w:firstLine="480" w:firstLineChars="200"/>
        <w:rPr>
          <w:sz w:val="24"/>
          <w:szCs w:val="24"/>
        </w:rPr>
      </w:pPr>
      <w:r>
        <w:rPr>
          <w:sz w:val="24"/>
          <w:szCs w:val="24"/>
        </w:rPr>
        <w:t>1.1.7“附加工作”是指咨询人根据合同条件完成的正常工作以外的工作。</w:t>
      </w:r>
    </w:p>
    <w:p w14:paraId="4BCF552D">
      <w:pPr>
        <w:pStyle w:val="78"/>
        <w:spacing w:line="360" w:lineRule="auto"/>
        <w:ind w:firstLine="480" w:firstLineChars="200"/>
        <w:rPr>
          <w:sz w:val="24"/>
          <w:szCs w:val="24"/>
        </w:rPr>
      </w:pPr>
      <w:r>
        <w:rPr>
          <w:sz w:val="24"/>
          <w:szCs w:val="24"/>
        </w:rPr>
        <w:t>1.1.8“项目咨询团队”是指咨询人指派负责履行本合同的团队，其团队成员为本合同的项目咨询人员。</w:t>
      </w:r>
    </w:p>
    <w:p w14:paraId="6C0373A4">
      <w:pPr>
        <w:pStyle w:val="78"/>
        <w:spacing w:line="360" w:lineRule="auto"/>
        <w:ind w:firstLine="480" w:firstLineChars="200"/>
        <w:rPr>
          <w:sz w:val="24"/>
          <w:szCs w:val="24"/>
        </w:rPr>
      </w:pPr>
      <w:r>
        <w:rPr>
          <w:sz w:val="24"/>
          <w:szCs w:val="24"/>
        </w:rPr>
        <w:t>1.1.9“项目负责人”是指由咨询人的法定代表人书面授权，在授权范围内负责履行本合同、主持项目咨询团队工作的负责人。</w:t>
      </w:r>
    </w:p>
    <w:p w14:paraId="5B7841AE">
      <w:pPr>
        <w:spacing w:line="360" w:lineRule="auto"/>
        <w:ind w:firstLine="480" w:firstLineChars="200"/>
        <w:rPr>
          <w:sz w:val="24"/>
        </w:rPr>
      </w:pPr>
      <w:r>
        <w:rPr>
          <w:sz w:val="24"/>
        </w:rPr>
        <w:t>1.1.10“委托人代表”是指由委托人的法定代表人书面授权，在授权范围内行使委托人权利的人。</w:t>
      </w:r>
    </w:p>
    <w:p w14:paraId="2F7C87A7">
      <w:pPr>
        <w:pStyle w:val="78"/>
        <w:spacing w:line="360" w:lineRule="auto"/>
        <w:ind w:firstLine="480" w:firstLineChars="200"/>
        <w:rPr>
          <w:sz w:val="24"/>
          <w:szCs w:val="24"/>
        </w:rPr>
      </w:pPr>
      <w:r>
        <w:rPr>
          <w:sz w:val="24"/>
          <w:szCs w:val="24"/>
        </w:rPr>
        <w:t>1.1.11“酬金”是指咨询人履行本合同义务，委托人按照本合同约定给付咨询人的金额。</w:t>
      </w:r>
    </w:p>
    <w:p w14:paraId="576CEA88">
      <w:pPr>
        <w:pStyle w:val="78"/>
        <w:spacing w:line="360" w:lineRule="auto"/>
        <w:ind w:firstLine="480" w:firstLineChars="200"/>
        <w:jc w:val="left"/>
        <w:rPr>
          <w:sz w:val="24"/>
          <w:szCs w:val="24"/>
        </w:rPr>
      </w:pPr>
      <w:r>
        <w:rPr>
          <w:sz w:val="24"/>
          <w:szCs w:val="24"/>
        </w:rPr>
        <w:t>1.1.12“正常工作酬金”是指在协议书中载明的，咨询人完成正常工作，委托人应给付咨询人的酬金。</w:t>
      </w:r>
      <w:r>
        <w:rPr>
          <w:sz w:val="24"/>
          <w:szCs w:val="24"/>
        </w:rPr>
        <w:br w:type="textWrapping"/>
      </w:r>
      <w:r>
        <w:rPr>
          <w:sz w:val="24"/>
          <w:szCs w:val="24"/>
        </w:rPr>
        <w:t xml:space="preserve">    1.1.13“附加工作酬金”是指咨询人完成附加工作，委托人应给付咨询人的酬金。</w:t>
      </w:r>
    </w:p>
    <w:p w14:paraId="086E4D95">
      <w:pPr>
        <w:spacing w:line="360" w:lineRule="auto"/>
        <w:ind w:firstLine="480" w:firstLineChars="200"/>
        <w:rPr>
          <w:sz w:val="24"/>
        </w:rPr>
      </w:pPr>
      <w:r>
        <w:rPr>
          <w:sz w:val="24"/>
        </w:rPr>
        <w:t>1.1.14“书面形式”是指合同书、信件和数据电文</w:t>
      </w:r>
      <w:r>
        <w:rPr>
          <w:rFonts w:hint="eastAsia"/>
          <w:sz w:val="24"/>
          <w:lang w:eastAsia="zh-CN"/>
        </w:rPr>
        <w:t>(</w:t>
      </w:r>
      <w:r>
        <w:rPr>
          <w:sz w:val="24"/>
        </w:rPr>
        <w:t>包括电报、电传、传真、电子数据交换和电子邮件</w:t>
      </w:r>
      <w:r>
        <w:rPr>
          <w:rFonts w:hint="eastAsia"/>
          <w:sz w:val="24"/>
          <w:lang w:eastAsia="zh-CN"/>
        </w:rPr>
        <w:t>)</w:t>
      </w:r>
      <w:r>
        <w:rPr>
          <w:sz w:val="24"/>
        </w:rPr>
        <w:t>等可以有形地表现所载内容的形式。</w:t>
      </w:r>
    </w:p>
    <w:p w14:paraId="0AA30F5E">
      <w:pPr>
        <w:spacing w:line="360" w:lineRule="auto"/>
        <w:ind w:firstLine="480" w:firstLineChars="200"/>
        <w:rPr>
          <w:sz w:val="24"/>
        </w:rPr>
      </w:pPr>
      <w:r>
        <w:rPr>
          <w:sz w:val="24"/>
        </w:rPr>
        <w:t>1.1.15“不可抗力”是指委托人和咨询人在订立本合同时不可预见，在合同履行过程中不可避免并不能克服的自然灾害和社会性突发事件，如地震、海啸、瘟疫、水灾、骚乱、暴动、战争等情形。</w:t>
      </w:r>
    </w:p>
    <w:p w14:paraId="2C915281">
      <w:pPr>
        <w:pStyle w:val="20"/>
        <w:spacing w:before="60"/>
        <w:ind w:firstLine="480" w:firstLineChars="200"/>
        <w:jc w:val="left"/>
        <w:outlineLvl w:val="9"/>
        <w:rPr>
          <w:rFonts w:ascii="Times New Roman" w:hAnsi="Times New Roman"/>
          <w:b w:val="0"/>
          <w:sz w:val="24"/>
          <w:szCs w:val="24"/>
        </w:rPr>
      </w:pPr>
      <w:bookmarkStart w:id="630" w:name="_Toc50456140"/>
      <w:bookmarkStart w:id="631" w:name="_Toc23885"/>
      <w:bookmarkStart w:id="632" w:name="_Toc419045069"/>
      <w:r>
        <w:rPr>
          <w:rFonts w:ascii="Times New Roman" w:hAnsi="Times New Roman"/>
          <w:b w:val="0"/>
          <w:sz w:val="24"/>
          <w:szCs w:val="24"/>
        </w:rPr>
        <w:t>1.2语言</w:t>
      </w:r>
      <w:bookmarkEnd w:id="630"/>
      <w:bookmarkEnd w:id="631"/>
      <w:bookmarkEnd w:id="632"/>
    </w:p>
    <w:p w14:paraId="5E16F208">
      <w:pPr>
        <w:pStyle w:val="78"/>
        <w:spacing w:line="360" w:lineRule="auto"/>
        <w:ind w:firstLine="480" w:firstLineChars="200"/>
        <w:rPr>
          <w:sz w:val="24"/>
          <w:szCs w:val="24"/>
        </w:rPr>
      </w:pPr>
      <w:r>
        <w:rPr>
          <w:sz w:val="24"/>
          <w:szCs w:val="24"/>
        </w:rPr>
        <w:t>本合同使用中文书写、解释和说明。如专用条件约定使用两种及以上语言文字时，应以中文为准。</w:t>
      </w:r>
    </w:p>
    <w:p w14:paraId="31500E93">
      <w:pPr>
        <w:pStyle w:val="20"/>
        <w:spacing w:before="60"/>
        <w:ind w:firstLine="480" w:firstLineChars="200"/>
        <w:jc w:val="left"/>
        <w:outlineLvl w:val="9"/>
        <w:rPr>
          <w:rFonts w:ascii="Times New Roman" w:hAnsi="Times New Roman"/>
          <w:b w:val="0"/>
          <w:sz w:val="24"/>
          <w:szCs w:val="24"/>
        </w:rPr>
      </w:pPr>
      <w:bookmarkStart w:id="633" w:name="_Toc50456141"/>
      <w:bookmarkStart w:id="634" w:name="_Toc4083"/>
      <w:bookmarkStart w:id="635" w:name="_Toc419045070"/>
      <w:r>
        <w:rPr>
          <w:rFonts w:ascii="Times New Roman" w:hAnsi="Times New Roman"/>
          <w:b w:val="0"/>
          <w:sz w:val="24"/>
          <w:szCs w:val="24"/>
        </w:rPr>
        <w:t>1.3合同文件的优先顺序</w:t>
      </w:r>
      <w:bookmarkEnd w:id="633"/>
      <w:bookmarkEnd w:id="634"/>
      <w:bookmarkEnd w:id="635"/>
    </w:p>
    <w:p w14:paraId="674BE5EE">
      <w:pPr>
        <w:pStyle w:val="78"/>
        <w:spacing w:line="360" w:lineRule="auto"/>
        <w:ind w:firstLine="480" w:firstLineChars="200"/>
        <w:jc w:val="left"/>
        <w:rPr>
          <w:bCs/>
          <w:color w:val="auto"/>
          <w:sz w:val="24"/>
          <w:szCs w:val="24"/>
        </w:rPr>
      </w:pPr>
      <w:r>
        <w:rPr>
          <w:bCs/>
          <w:color w:val="auto"/>
          <w:sz w:val="24"/>
          <w:szCs w:val="24"/>
        </w:rPr>
        <w:t>组成本合同的下列文件彼此应能相互解释、互为说明。除专用条件另有约定外，本合同文件的解释顺序如下：</w:t>
      </w:r>
    </w:p>
    <w:p w14:paraId="65C0D511">
      <w:pPr>
        <w:pStyle w:val="78"/>
        <w:spacing w:line="360" w:lineRule="auto"/>
        <w:ind w:firstLine="480" w:firstLineChars="200"/>
        <w:jc w:val="left"/>
        <w:rPr>
          <w:bCs/>
          <w:sz w:val="24"/>
          <w:szCs w:val="24"/>
        </w:rPr>
      </w:pPr>
      <w:r>
        <w:rPr>
          <w:bCs/>
          <w:sz w:val="24"/>
          <w:szCs w:val="24"/>
        </w:rPr>
        <w:t>1.协议书</w:t>
      </w:r>
    </w:p>
    <w:p w14:paraId="31BAE5D0">
      <w:pPr>
        <w:pStyle w:val="78"/>
        <w:spacing w:line="360" w:lineRule="auto"/>
        <w:ind w:firstLine="480" w:firstLineChars="200"/>
        <w:jc w:val="left"/>
        <w:rPr>
          <w:bCs/>
          <w:sz w:val="24"/>
          <w:szCs w:val="24"/>
        </w:rPr>
      </w:pPr>
      <w:r>
        <w:rPr>
          <w:bCs/>
          <w:sz w:val="24"/>
          <w:szCs w:val="24"/>
        </w:rPr>
        <w:t>2.中标通知书或委托书</w:t>
      </w:r>
      <w:r>
        <w:rPr>
          <w:rFonts w:hint="eastAsia"/>
          <w:bCs/>
          <w:sz w:val="24"/>
          <w:szCs w:val="24"/>
          <w:lang w:eastAsia="zh-CN"/>
        </w:rPr>
        <w:t>(</w:t>
      </w:r>
      <w:r>
        <w:rPr>
          <w:bCs/>
          <w:sz w:val="24"/>
          <w:szCs w:val="24"/>
        </w:rPr>
        <w:t>如果有</w:t>
      </w:r>
      <w:r>
        <w:rPr>
          <w:rFonts w:hint="eastAsia"/>
          <w:bCs/>
          <w:sz w:val="24"/>
          <w:szCs w:val="24"/>
          <w:lang w:eastAsia="zh-CN"/>
        </w:rPr>
        <w:t>)</w:t>
      </w:r>
      <w:r>
        <w:rPr>
          <w:bCs/>
          <w:sz w:val="24"/>
          <w:szCs w:val="24"/>
        </w:rPr>
        <w:t>；</w:t>
      </w:r>
    </w:p>
    <w:p w14:paraId="6A0F20F8">
      <w:pPr>
        <w:pStyle w:val="78"/>
        <w:spacing w:line="360" w:lineRule="auto"/>
        <w:ind w:firstLine="480" w:firstLineChars="200"/>
        <w:jc w:val="left"/>
        <w:rPr>
          <w:bCs/>
          <w:sz w:val="24"/>
          <w:szCs w:val="24"/>
        </w:rPr>
      </w:pPr>
      <w:r>
        <w:rPr>
          <w:bCs/>
          <w:sz w:val="24"/>
          <w:szCs w:val="24"/>
        </w:rPr>
        <w:t>3.专用条件及附录；</w:t>
      </w:r>
    </w:p>
    <w:p w14:paraId="6170C413">
      <w:pPr>
        <w:pStyle w:val="78"/>
        <w:spacing w:line="360" w:lineRule="auto"/>
        <w:ind w:firstLine="480" w:firstLineChars="200"/>
        <w:jc w:val="left"/>
        <w:rPr>
          <w:bCs/>
          <w:sz w:val="24"/>
          <w:szCs w:val="24"/>
        </w:rPr>
      </w:pPr>
      <w:r>
        <w:rPr>
          <w:bCs/>
          <w:sz w:val="24"/>
          <w:szCs w:val="24"/>
        </w:rPr>
        <w:t>4.通用条件；</w:t>
      </w:r>
    </w:p>
    <w:p w14:paraId="3E1F0204">
      <w:pPr>
        <w:pStyle w:val="78"/>
        <w:spacing w:line="360" w:lineRule="auto"/>
        <w:ind w:firstLine="480" w:firstLineChars="200"/>
        <w:jc w:val="left"/>
        <w:rPr>
          <w:bCs/>
          <w:sz w:val="24"/>
          <w:szCs w:val="24"/>
        </w:rPr>
      </w:pPr>
      <w:r>
        <w:rPr>
          <w:bCs/>
          <w:sz w:val="24"/>
          <w:szCs w:val="24"/>
        </w:rPr>
        <w:t>5.投标函及投标函附录或造价咨询服务建议书</w:t>
      </w:r>
      <w:r>
        <w:rPr>
          <w:rFonts w:hint="eastAsia"/>
          <w:bCs/>
          <w:sz w:val="24"/>
          <w:szCs w:val="24"/>
          <w:lang w:eastAsia="zh-CN"/>
        </w:rPr>
        <w:t>(</w:t>
      </w:r>
      <w:r>
        <w:rPr>
          <w:bCs/>
          <w:sz w:val="24"/>
          <w:szCs w:val="24"/>
        </w:rPr>
        <w:t>如果有</w:t>
      </w:r>
      <w:r>
        <w:rPr>
          <w:rFonts w:hint="eastAsia"/>
          <w:bCs/>
          <w:sz w:val="24"/>
          <w:szCs w:val="24"/>
          <w:lang w:eastAsia="zh-CN"/>
        </w:rPr>
        <w:t>)</w:t>
      </w:r>
      <w:r>
        <w:rPr>
          <w:bCs/>
          <w:sz w:val="24"/>
          <w:szCs w:val="24"/>
        </w:rPr>
        <w:t>；</w:t>
      </w:r>
    </w:p>
    <w:p w14:paraId="469D299F">
      <w:pPr>
        <w:spacing w:line="360" w:lineRule="auto"/>
        <w:ind w:firstLine="468"/>
        <w:rPr>
          <w:bCs/>
          <w:sz w:val="24"/>
        </w:rPr>
      </w:pPr>
      <w:r>
        <w:rPr>
          <w:bCs/>
          <w:sz w:val="24"/>
        </w:rPr>
        <w:t>6.其他合同文件。</w:t>
      </w:r>
    </w:p>
    <w:p w14:paraId="16528E42">
      <w:pPr>
        <w:pStyle w:val="78"/>
        <w:spacing w:line="360" w:lineRule="auto"/>
        <w:ind w:firstLine="480" w:firstLineChars="200"/>
        <w:jc w:val="left"/>
        <w:rPr>
          <w:bCs/>
          <w:sz w:val="24"/>
          <w:szCs w:val="24"/>
        </w:rPr>
      </w:pPr>
      <w:r>
        <w:rPr>
          <w:bCs/>
          <w:sz w:val="24"/>
          <w:szCs w:val="24"/>
        </w:rPr>
        <w:t>上述各项合同文件包括合同当事人就该项合同文件所作出的补充和修改，属于同一类内容的文件，应以最新签署的为准。</w:t>
      </w:r>
    </w:p>
    <w:p w14:paraId="7828371D">
      <w:pPr>
        <w:spacing w:line="360" w:lineRule="auto"/>
        <w:ind w:firstLine="468"/>
        <w:rPr>
          <w:bCs/>
          <w:sz w:val="24"/>
        </w:rPr>
      </w:pPr>
      <w:r>
        <w:rPr>
          <w:bCs/>
          <w:sz w:val="24"/>
        </w:rPr>
        <w:t>在合同订立及履行过程中形成的与合同有关的文件均构成合同文件的组成部分。</w:t>
      </w:r>
    </w:p>
    <w:p w14:paraId="39D75C21">
      <w:pPr>
        <w:pStyle w:val="20"/>
        <w:spacing w:before="60"/>
        <w:ind w:firstLine="480" w:firstLineChars="200"/>
        <w:jc w:val="left"/>
        <w:outlineLvl w:val="9"/>
        <w:rPr>
          <w:rFonts w:ascii="Times New Roman" w:hAnsi="Times New Roman"/>
          <w:b w:val="0"/>
          <w:sz w:val="24"/>
          <w:szCs w:val="24"/>
        </w:rPr>
      </w:pPr>
      <w:bookmarkStart w:id="636" w:name="_Toc50456142"/>
      <w:bookmarkStart w:id="637" w:name="_Toc419045071"/>
      <w:bookmarkStart w:id="638" w:name="_Toc24383"/>
      <w:r>
        <w:rPr>
          <w:rFonts w:ascii="Times New Roman" w:hAnsi="Times New Roman"/>
          <w:b w:val="0"/>
          <w:sz w:val="24"/>
          <w:szCs w:val="24"/>
        </w:rPr>
        <w:t>1.4适用法律</w:t>
      </w:r>
      <w:bookmarkEnd w:id="636"/>
      <w:bookmarkEnd w:id="637"/>
      <w:bookmarkEnd w:id="638"/>
    </w:p>
    <w:p w14:paraId="15F63CED">
      <w:pPr>
        <w:spacing w:line="360" w:lineRule="auto"/>
        <w:ind w:firstLine="480" w:firstLineChars="200"/>
        <w:rPr>
          <w:sz w:val="24"/>
        </w:rPr>
      </w:pPr>
      <w:r>
        <w:rPr>
          <w:sz w:val="24"/>
        </w:rPr>
        <w:t>本合同适用中华人民共和国法律、行政法规、部门规章以及工程所在地的地方性法规、自治条例、单行条例和地方政府规章等。</w:t>
      </w:r>
    </w:p>
    <w:p w14:paraId="228C08E5">
      <w:pPr>
        <w:spacing w:line="360" w:lineRule="auto"/>
        <w:ind w:firstLine="480" w:firstLineChars="200"/>
        <w:rPr>
          <w:rStyle w:val="80"/>
          <w:rFonts w:ascii="Times New Roman" w:hAnsi="Times New Roman"/>
          <w:szCs w:val="24"/>
        </w:rPr>
      </w:pPr>
      <w:r>
        <w:rPr>
          <w:sz w:val="24"/>
        </w:rPr>
        <w:t>合同当事人可以在专用条件中约定本合同适用的其他规范、规程、定额、技术标准等规范性文件。</w:t>
      </w:r>
    </w:p>
    <w:p w14:paraId="713E06E4">
      <w:pPr>
        <w:pStyle w:val="24"/>
        <w:spacing w:before="0" w:after="0" w:line="360" w:lineRule="auto"/>
        <w:ind w:firstLine="482" w:firstLineChars="200"/>
        <w:jc w:val="left"/>
        <w:outlineLvl w:val="9"/>
        <w:rPr>
          <w:rFonts w:ascii="Times New Roman" w:hAnsi="Times New Roman"/>
          <w:szCs w:val="24"/>
        </w:rPr>
      </w:pPr>
      <w:bookmarkStart w:id="639" w:name="_Toc1871"/>
      <w:bookmarkStart w:id="640" w:name="_Toc50456143"/>
      <w:r>
        <w:rPr>
          <w:rFonts w:ascii="Times New Roman" w:hAnsi="Times New Roman"/>
          <w:szCs w:val="24"/>
        </w:rPr>
        <w:t>2.委托人的义务</w:t>
      </w:r>
      <w:bookmarkEnd w:id="639"/>
      <w:bookmarkEnd w:id="640"/>
    </w:p>
    <w:p w14:paraId="739B4087">
      <w:pPr>
        <w:pStyle w:val="20"/>
        <w:spacing w:before="60"/>
        <w:ind w:firstLine="480" w:firstLineChars="200"/>
        <w:jc w:val="left"/>
        <w:outlineLvl w:val="9"/>
        <w:rPr>
          <w:rFonts w:ascii="Times New Roman" w:hAnsi="Times New Roman"/>
          <w:b w:val="0"/>
          <w:sz w:val="24"/>
          <w:szCs w:val="24"/>
        </w:rPr>
      </w:pPr>
      <w:bookmarkStart w:id="641" w:name="_Toc419045072"/>
      <w:bookmarkStart w:id="642" w:name="_Toc50456144"/>
      <w:bookmarkStart w:id="643" w:name="_Toc10808"/>
      <w:r>
        <w:rPr>
          <w:rFonts w:ascii="Times New Roman" w:hAnsi="Times New Roman"/>
          <w:b w:val="0"/>
          <w:sz w:val="24"/>
          <w:szCs w:val="24"/>
        </w:rPr>
        <w:t>2.1提供资料</w:t>
      </w:r>
      <w:bookmarkEnd w:id="641"/>
      <w:bookmarkEnd w:id="642"/>
      <w:bookmarkEnd w:id="643"/>
    </w:p>
    <w:p w14:paraId="260763DF">
      <w:pPr>
        <w:spacing w:line="360" w:lineRule="auto"/>
        <w:ind w:firstLine="480" w:firstLineChars="200"/>
        <w:rPr>
          <w:sz w:val="24"/>
        </w:rPr>
      </w:pPr>
      <w:r>
        <w:rPr>
          <w:sz w:val="24"/>
        </w:rPr>
        <w:t>委托人应当在专用条件约定的时间内，按照附录C的约定无偿向咨询人提供与本合同咨询业务有关的资料。在本合同履行过程中，委托人应及时向咨询人提供最新的与本合同咨询业务有关的资料。委托人应对所提供资料的真实性、准确性、合法性与完整性负责。</w:t>
      </w:r>
    </w:p>
    <w:p w14:paraId="048F19FD">
      <w:pPr>
        <w:pStyle w:val="20"/>
        <w:spacing w:before="60"/>
        <w:ind w:firstLine="480" w:firstLineChars="200"/>
        <w:jc w:val="left"/>
        <w:outlineLvl w:val="9"/>
        <w:rPr>
          <w:rFonts w:ascii="Times New Roman" w:hAnsi="Times New Roman"/>
          <w:b w:val="0"/>
          <w:sz w:val="24"/>
          <w:szCs w:val="24"/>
        </w:rPr>
      </w:pPr>
      <w:bookmarkStart w:id="644" w:name="_Toc419045073"/>
      <w:bookmarkStart w:id="645" w:name="_Toc50456145"/>
      <w:bookmarkStart w:id="646" w:name="_Toc6500"/>
      <w:r>
        <w:rPr>
          <w:rFonts w:ascii="Times New Roman" w:hAnsi="Times New Roman"/>
          <w:b w:val="0"/>
          <w:sz w:val="24"/>
          <w:szCs w:val="24"/>
        </w:rPr>
        <w:t>2.2提供工作条件</w:t>
      </w:r>
      <w:bookmarkEnd w:id="644"/>
      <w:bookmarkEnd w:id="645"/>
      <w:bookmarkEnd w:id="646"/>
    </w:p>
    <w:p w14:paraId="00E4A654">
      <w:pPr>
        <w:spacing w:line="360" w:lineRule="auto"/>
        <w:ind w:firstLine="480" w:firstLineChars="200"/>
        <w:rPr>
          <w:sz w:val="24"/>
        </w:rPr>
      </w:pPr>
      <w:r>
        <w:rPr>
          <w:sz w:val="24"/>
        </w:rPr>
        <w:t>委托人应为咨询人完成造价咨询提供必要的条件。</w:t>
      </w:r>
    </w:p>
    <w:p w14:paraId="5ECD8675">
      <w:pPr>
        <w:spacing w:line="360" w:lineRule="auto"/>
        <w:ind w:firstLine="480" w:firstLineChars="200"/>
        <w:rPr>
          <w:sz w:val="24"/>
        </w:rPr>
      </w:pPr>
      <w:r>
        <w:rPr>
          <w:sz w:val="24"/>
        </w:rPr>
        <w:t>2.2.1委托人需要咨询人派驻项目现场咨询人员的，除专用条件另有约定外，项目咨询人员有权无偿使用附录D中由委托人提供的房屋及设备。</w:t>
      </w:r>
    </w:p>
    <w:p w14:paraId="0DAC1B36">
      <w:pPr>
        <w:spacing w:line="360" w:lineRule="auto"/>
        <w:ind w:firstLine="480" w:firstLineChars="200"/>
        <w:rPr>
          <w:sz w:val="24"/>
        </w:rPr>
      </w:pPr>
      <w:r>
        <w:rPr>
          <w:sz w:val="24"/>
        </w:rPr>
        <w:t>2.2.2委托人应负责与本工程造价咨询业务有关的所有外部关系的协调，为咨询人履行本合同提供必要的外部条件。</w:t>
      </w:r>
    </w:p>
    <w:p w14:paraId="1E9CAA5B">
      <w:pPr>
        <w:pStyle w:val="20"/>
        <w:spacing w:before="60"/>
        <w:ind w:firstLine="480" w:firstLineChars="200"/>
        <w:jc w:val="left"/>
        <w:outlineLvl w:val="9"/>
        <w:rPr>
          <w:rFonts w:ascii="Times New Roman" w:hAnsi="Times New Roman"/>
          <w:b w:val="0"/>
          <w:sz w:val="24"/>
          <w:szCs w:val="24"/>
        </w:rPr>
      </w:pPr>
      <w:bookmarkStart w:id="647" w:name="_Toc2204"/>
      <w:bookmarkStart w:id="648" w:name="_Toc419045074"/>
      <w:bookmarkStart w:id="649" w:name="_Toc50456146"/>
      <w:r>
        <w:rPr>
          <w:rFonts w:ascii="Times New Roman" w:hAnsi="Times New Roman"/>
          <w:b w:val="0"/>
          <w:sz w:val="24"/>
          <w:szCs w:val="24"/>
        </w:rPr>
        <w:t>2.3合理工作时限</w:t>
      </w:r>
      <w:bookmarkEnd w:id="647"/>
      <w:bookmarkEnd w:id="648"/>
      <w:bookmarkEnd w:id="649"/>
    </w:p>
    <w:p w14:paraId="7B402053">
      <w:pPr>
        <w:spacing w:line="360" w:lineRule="auto"/>
        <w:ind w:firstLine="480" w:firstLineChars="200"/>
        <w:rPr>
          <w:sz w:val="24"/>
        </w:rPr>
      </w:pPr>
      <w:r>
        <w:rPr>
          <w:sz w:val="24"/>
        </w:rPr>
        <w:t>委托人应当为咨询人完成其咨询工作，设定合理的工作时限。</w:t>
      </w:r>
    </w:p>
    <w:p w14:paraId="662503FD">
      <w:pPr>
        <w:pStyle w:val="20"/>
        <w:spacing w:before="60"/>
        <w:ind w:firstLine="480" w:firstLineChars="200"/>
        <w:jc w:val="left"/>
        <w:outlineLvl w:val="9"/>
        <w:rPr>
          <w:rFonts w:ascii="Times New Roman" w:hAnsi="Times New Roman"/>
          <w:b w:val="0"/>
          <w:sz w:val="24"/>
          <w:szCs w:val="24"/>
        </w:rPr>
      </w:pPr>
      <w:bookmarkStart w:id="650" w:name="_Toc50456147"/>
      <w:bookmarkStart w:id="651" w:name="_Toc419045075"/>
      <w:bookmarkStart w:id="652" w:name="_Toc30573"/>
      <w:r>
        <w:rPr>
          <w:rFonts w:ascii="Times New Roman" w:hAnsi="Times New Roman"/>
          <w:b w:val="0"/>
          <w:sz w:val="24"/>
          <w:szCs w:val="24"/>
        </w:rPr>
        <w:t>2.4委托人代表</w:t>
      </w:r>
      <w:bookmarkEnd w:id="650"/>
      <w:bookmarkEnd w:id="651"/>
      <w:bookmarkEnd w:id="652"/>
    </w:p>
    <w:p w14:paraId="3516FA38">
      <w:pPr>
        <w:spacing w:line="360" w:lineRule="auto"/>
        <w:ind w:firstLine="480" w:firstLineChars="200"/>
        <w:rPr>
          <w:sz w:val="24"/>
        </w:rPr>
      </w:pPr>
      <w:r>
        <w:rPr>
          <w:sz w:val="24"/>
        </w:rPr>
        <w:t>委托人应授权一名代表负责本合同的履行。委托人应在双方签订本合同7日内，将委托人代表的姓名和权限范围书面告知咨询人。委托人更换委托人代表时，应提前7日书面通知咨询人。</w:t>
      </w:r>
    </w:p>
    <w:p w14:paraId="4D8A131B">
      <w:pPr>
        <w:pStyle w:val="20"/>
        <w:spacing w:before="60"/>
        <w:ind w:firstLine="480" w:firstLineChars="200"/>
        <w:jc w:val="left"/>
        <w:outlineLvl w:val="9"/>
        <w:rPr>
          <w:rFonts w:ascii="Times New Roman" w:hAnsi="Times New Roman"/>
          <w:b w:val="0"/>
          <w:sz w:val="24"/>
          <w:szCs w:val="24"/>
        </w:rPr>
      </w:pPr>
      <w:bookmarkStart w:id="653" w:name="_Toc50456148"/>
      <w:bookmarkStart w:id="654" w:name="_Toc419045076"/>
      <w:bookmarkStart w:id="655" w:name="_Toc23933"/>
      <w:r>
        <w:rPr>
          <w:rFonts w:ascii="Times New Roman" w:hAnsi="Times New Roman"/>
          <w:b w:val="0"/>
          <w:sz w:val="24"/>
          <w:szCs w:val="24"/>
        </w:rPr>
        <w:t>2.5答复</w:t>
      </w:r>
      <w:bookmarkEnd w:id="653"/>
      <w:bookmarkEnd w:id="654"/>
      <w:bookmarkEnd w:id="655"/>
    </w:p>
    <w:p w14:paraId="450BC7B4">
      <w:pPr>
        <w:spacing w:line="360" w:lineRule="auto"/>
        <w:ind w:firstLine="480" w:firstLineChars="200"/>
        <w:rPr>
          <w:sz w:val="24"/>
        </w:rPr>
      </w:pPr>
      <w:r>
        <w:rPr>
          <w:sz w:val="24"/>
        </w:rPr>
        <w:t>委托人应当在专用条件约定的时间内就咨询人以书面形式提交并要求做出答复的事宜给予书面答复。逾期未答复的，由此造成的工作延误和损失由委托人承担。</w:t>
      </w:r>
    </w:p>
    <w:p w14:paraId="6FF91682">
      <w:pPr>
        <w:pStyle w:val="20"/>
        <w:spacing w:before="60"/>
        <w:ind w:firstLine="480" w:firstLineChars="200"/>
        <w:jc w:val="left"/>
        <w:outlineLvl w:val="9"/>
        <w:rPr>
          <w:rFonts w:ascii="Times New Roman" w:hAnsi="Times New Roman"/>
          <w:b w:val="0"/>
          <w:sz w:val="24"/>
          <w:szCs w:val="24"/>
        </w:rPr>
      </w:pPr>
      <w:bookmarkStart w:id="656" w:name="_Toc419045077"/>
      <w:bookmarkStart w:id="657" w:name="_Toc7152"/>
      <w:bookmarkStart w:id="658" w:name="_Toc50456149"/>
      <w:r>
        <w:rPr>
          <w:rFonts w:ascii="Times New Roman" w:hAnsi="Times New Roman"/>
          <w:b w:val="0"/>
          <w:sz w:val="24"/>
          <w:szCs w:val="24"/>
        </w:rPr>
        <w:t>2.6支付</w:t>
      </w:r>
      <w:bookmarkEnd w:id="656"/>
      <w:bookmarkEnd w:id="657"/>
      <w:bookmarkEnd w:id="658"/>
    </w:p>
    <w:p w14:paraId="41E17C6D">
      <w:pPr>
        <w:spacing w:line="360" w:lineRule="auto"/>
        <w:ind w:firstLine="480" w:firstLineChars="200"/>
        <w:rPr>
          <w:sz w:val="24"/>
        </w:rPr>
      </w:pPr>
      <w:r>
        <w:rPr>
          <w:sz w:val="24"/>
        </w:rPr>
        <w:t>委托人应当按照合同的约定，向咨询人支付酬金。</w:t>
      </w:r>
    </w:p>
    <w:p w14:paraId="026F3D8A">
      <w:pPr>
        <w:pStyle w:val="24"/>
        <w:spacing w:before="0" w:after="0" w:line="360" w:lineRule="auto"/>
        <w:ind w:firstLine="482" w:firstLineChars="200"/>
        <w:jc w:val="left"/>
        <w:outlineLvl w:val="9"/>
        <w:rPr>
          <w:rFonts w:ascii="Times New Roman" w:hAnsi="Times New Roman"/>
          <w:szCs w:val="24"/>
        </w:rPr>
      </w:pPr>
      <w:bookmarkStart w:id="659" w:name="_Toc50456150"/>
      <w:bookmarkStart w:id="660" w:name="_Toc419045078"/>
      <w:bookmarkStart w:id="661" w:name="_Toc13855"/>
      <w:r>
        <w:rPr>
          <w:rFonts w:ascii="Times New Roman" w:hAnsi="Times New Roman"/>
          <w:szCs w:val="24"/>
        </w:rPr>
        <w:t>3.咨询人的义务</w:t>
      </w:r>
      <w:bookmarkEnd w:id="659"/>
      <w:bookmarkEnd w:id="660"/>
      <w:bookmarkEnd w:id="661"/>
    </w:p>
    <w:p w14:paraId="009885BE">
      <w:pPr>
        <w:pStyle w:val="20"/>
        <w:spacing w:before="60"/>
        <w:ind w:firstLine="480" w:firstLineChars="200"/>
        <w:jc w:val="left"/>
        <w:outlineLvl w:val="9"/>
        <w:rPr>
          <w:rFonts w:ascii="Times New Roman" w:hAnsi="Times New Roman"/>
          <w:b w:val="0"/>
          <w:sz w:val="24"/>
          <w:szCs w:val="24"/>
        </w:rPr>
      </w:pPr>
      <w:bookmarkStart w:id="662" w:name="_Toc419045080"/>
      <w:bookmarkStart w:id="663" w:name="_Toc12461"/>
      <w:bookmarkStart w:id="664" w:name="_Toc50456151"/>
      <w:bookmarkStart w:id="665" w:name="16"/>
      <w:r>
        <w:rPr>
          <w:rFonts w:ascii="Times New Roman" w:hAnsi="Times New Roman"/>
          <w:b w:val="0"/>
          <w:sz w:val="24"/>
          <w:szCs w:val="24"/>
        </w:rPr>
        <w:t>3.1项目咨询团队及人员</w:t>
      </w:r>
      <w:bookmarkEnd w:id="662"/>
      <w:bookmarkEnd w:id="663"/>
      <w:bookmarkEnd w:id="664"/>
    </w:p>
    <w:p w14:paraId="764F7CC0">
      <w:pPr>
        <w:pStyle w:val="78"/>
        <w:spacing w:line="360" w:lineRule="auto"/>
        <w:ind w:firstLine="480" w:firstLineChars="200"/>
        <w:jc w:val="left"/>
        <w:rPr>
          <w:sz w:val="24"/>
          <w:szCs w:val="24"/>
        </w:rPr>
      </w:pPr>
      <w:r>
        <w:rPr>
          <w:sz w:val="24"/>
          <w:szCs w:val="24"/>
        </w:rPr>
        <w:t>3.1.1项目咨询团队的主要人员应具有专用条件约定的资格条件，团队人员的数量应符合专用条件的约定。</w:t>
      </w:r>
    </w:p>
    <w:p w14:paraId="6271C176">
      <w:pPr>
        <w:pStyle w:val="78"/>
        <w:spacing w:line="360" w:lineRule="auto"/>
        <w:ind w:firstLine="480" w:firstLineChars="200"/>
        <w:jc w:val="left"/>
        <w:outlineLvl w:val="9"/>
        <w:rPr>
          <w:sz w:val="24"/>
          <w:szCs w:val="24"/>
        </w:rPr>
      </w:pPr>
      <w:r>
        <w:rPr>
          <w:sz w:val="24"/>
          <w:szCs w:val="24"/>
        </w:rPr>
        <w:t>3.1.2项目负责人</w:t>
      </w:r>
    </w:p>
    <w:p w14:paraId="4117B24B">
      <w:pPr>
        <w:pStyle w:val="78"/>
        <w:spacing w:line="360" w:lineRule="auto"/>
        <w:ind w:firstLine="480" w:firstLineChars="200"/>
        <w:rPr>
          <w:sz w:val="24"/>
          <w:szCs w:val="24"/>
        </w:rPr>
      </w:pPr>
      <w:r>
        <w:rPr>
          <w:sz w:val="24"/>
          <w:szCs w:val="24"/>
        </w:rPr>
        <w:t>咨询人应以书面形式授权一名项目负责人负责履行本合同、主持项目咨询团队工作。采用招标程序签署本合同的，项目负责人应当与投标文件载明的一致。</w:t>
      </w:r>
    </w:p>
    <w:p w14:paraId="451FCCB3">
      <w:pPr>
        <w:pStyle w:val="78"/>
        <w:spacing w:line="360" w:lineRule="auto"/>
        <w:ind w:firstLine="480" w:firstLineChars="200"/>
        <w:rPr>
          <w:sz w:val="24"/>
          <w:szCs w:val="24"/>
        </w:rPr>
      </w:pPr>
      <w:r>
        <w:rPr>
          <w:sz w:val="24"/>
          <w:szCs w:val="24"/>
        </w:rPr>
        <w:t>3.1.3在本合同履行过程中，咨询人员应保持相对稳定，以保证咨询工作正常进行。</w:t>
      </w:r>
    </w:p>
    <w:p w14:paraId="6FFCC69E">
      <w:pPr>
        <w:pStyle w:val="78"/>
        <w:spacing w:line="360" w:lineRule="auto"/>
        <w:ind w:firstLine="480" w:firstLineChars="200"/>
        <w:rPr>
          <w:sz w:val="24"/>
          <w:szCs w:val="24"/>
        </w:rPr>
      </w:pPr>
      <w:r>
        <w:rPr>
          <w:sz w:val="24"/>
          <w:szCs w:val="24"/>
        </w:rPr>
        <w:t>咨询人可根据工程进展和工作需要等情形调整项目咨询团队人员。咨询人更换项目负责人时，应提前7日向委托人书面报告，经委托人同意后方可更换。除专用条件另有约定外，咨询人更换项目咨询团队其他咨询人员，应提前3日向委托人书面报告，经委托人同意后以相当资格与能力的人员替换。</w:t>
      </w:r>
    </w:p>
    <w:p w14:paraId="4F5C8233">
      <w:pPr>
        <w:pStyle w:val="78"/>
        <w:spacing w:line="360" w:lineRule="auto"/>
        <w:ind w:firstLine="480" w:firstLineChars="200"/>
        <w:rPr>
          <w:sz w:val="24"/>
          <w:szCs w:val="24"/>
        </w:rPr>
      </w:pPr>
      <w:r>
        <w:rPr>
          <w:sz w:val="24"/>
          <w:szCs w:val="24"/>
        </w:rPr>
        <w:t>3.1.4咨询人员有下列情形之一，委托人要求咨询人更换的，咨询人应当更换：</w:t>
      </w:r>
    </w:p>
    <w:p w14:paraId="2AFBC076">
      <w:pPr>
        <w:pStyle w:val="78"/>
        <w:spacing w:line="360" w:lineRule="auto"/>
        <w:ind w:firstLine="336"/>
        <w:jc w:val="left"/>
        <w:rPr>
          <w:sz w:val="24"/>
          <w:szCs w:val="24"/>
        </w:rPr>
      </w:pPr>
      <w:r>
        <w:rPr>
          <w:rFonts w:hint="eastAsia"/>
          <w:sz w:val="24"/>
          <w:szCs w:val="24"/>
          <w:lang w:eastAsia="zh-CN"/>
        </w:rPr>
        <w:t>(</w:t>
      </w:r>
      <w:r>
        <w:rPr>
          <w:sz w:val="24"/>
          <w:szCs w:val="24"/>
        </w:rPr>
        <w:t>1</w:t>
      </w:r>
      <w:r>
        <w:rPr>
          <w:rFonts w:hint="eastAsia"/>
          <w:sz w:val="24"/>
          <w:szCs w:val="24"/>
          <w:lang w:eastAsia="zh-CN"/>
        </w:rPr>
        <w:t>)</w:t>
      </w:r>
      <w:r>
        <w:rPr>
          <w:sz w:val="24"/>
          <w:szCs w:val="24"/>
        </w:rPr>
        <w:t>存在严重过失行为的；</w:t>
      </w:r>
    </w:p>
    <w:p w14:paraId="171331DB">
      <w:pPr>
        <w:pStyle w:val="78"/>
        <w:spacing w:line="360" w:lineRule="auto"/>
        <w:ind w:firstLine="336"/>
        <w:jc w:val="left"/>
        <w:rPr>
          <w:sz w:val="24"/>
          <w:szCs w:val="24"/>
        </w:rPr>
      </w:pPr>
      <w:r>
        <w:rPr>
          <w:rFonts w:hint="eastAsia"/>
          <w:sz w:val="24"/>
          <w:szCs w:val="24"/>
          <w:lang w:eastAsia="zh-CN"/>
        </w:rPr>
        <w:t>(</w:t>
      </w:r>
      <w:r>
        <w:rPr>
          <w:sz w:val="24"/>
          <w:szCs w:val="24"/>
        </w:rPr>
        <w:t>2</w:t>
      </w:r>
      <w:r>
        <w:rPr>
          <w:rFonts w:hint="eastAsia"/>
          <w:sz w:val="24"/>
          <w:szCs w:val="24"/>
          <w:lang w:eastAsia="zh-CN"/>
        </w:rPr>
        <w:t>)</w:t>
      </w:r>
      <w:r>
        <w:rPr>
          <w:sz w:val="24"/>
          <w:szCs w:val="24"/>
        </w:rPr>
        <w:t>存在违法行为不能履行职责的；</w:t>
      </w:r>
    </w:p>
    <w:p w14:paraId="566C60DE">
      <w:pPr>
        <w:pStyle w:val="78"/>
        <w:spacing w:line="360" w:lineRule="auto"/>
        <w:ind w:firstLine="336"/>
        <w:jc w:val="left"/>
        <w:rPr>
          <w:sz w:val="24"/>
          <w:szCs w:val="24"/>
        </w:rPr>
      </w:pPr>
      <w:r>
        <w:rPr>
          <w:rFonts w:hint="eastAsia"/>
          <w:sz w:val="24"/>
          <w:szCs w:val="24"/>
          <w:lang w:eastAsia="zh-CN"/>
        </w:rPr>
        <w:t>(</w:t>
      </w:r>
      <w:r>
        <w:rPr>
          <w:sz w:val="24"/>
          <w:szCs w:val="24"/>
        </w:rPr>
        <w:t>3</w:t>
      </w:r>
      <w:r>
        <w:rPr>
          <w:rFonts w:hint="eastAsia"/>
          <w:sz w:val="24"/>
          <w:szCs w:val="24"/>
          <w:lang w:eastAsia="zh-CN"/>
        </w:rPr>
        <w:t>)</w:t>
      </w:r>
      <w:r>
        <w:rPr>
          <w:sz w:val="24"/>
          <w:szCs w:val="24"/>
        </w:rPr>
        <w:t>涉嫌犯罪的；</w:t>
      </w:r>
    </w:p>
    <w:p w14:paraId="16CD1B56">
      <w:pPr>
        <w:pStyle w:val="78"/>
        <w:spacing w:line="360" w:lineRule="auto"/>
        <w:ind w:firstLine="336"/>
        <w:jc w:val="left"/>
        <w:rPr>
          <w:sz w:val="24"/>
          <w:szCs w:val="24"/>
        </w:rPr>
      </w:pPr>
      <w:r>
        <w:rPr>
          <w:rFonts w:hint="eastAsia"/>
          <w:sz w:val="24"/>
          <w:szCs w:val="24"/>
          <w:lang w:eastAsia="zh-CN"/>
        </w:rPr>
        <w:t>(</w:t>
      </w:r>
      <w:r>
        <w:rPr>
          <w:sz w:val="24"/>
          <w:szCs w:val="24"/>
        </w:rPr>
        <w:t>4</w:t>
      </w:r>
      <w:r>
        <w:rPr>
          <w:rFonts w:hint="eastAsia"/>
          <w:sz w:val="24"/>
          <w:szCs w:val="24"/>
          <w:lang w:eastAsia="zh-CN"/>
        </w:rPr>
        <w:t>)</w:t>
      </w:r>
      <w:r>
        <w:rPr>
          <w:sz w:val="24"/>
          <w:szCs w:val="24"/>
        </w:rPr>
        <w:t>不能胜任岗位职责的；</w:t>
      </w:r>
    </w:p>
    <w:p w14:paraId="559E814A">
      <w:pPr>
        <w:pStyle w:val="78"/>
        <w:spacing w:line="360" w:lineRule="auto"/>
        <w:ind w:firstLine="336"/>
        <w:jc w:val="left"/>
        <w:rPr>
          <w:sz w:val="24"/>
          <w:szCs w:val="24"/>
        </w:rPr>
      </w:pPr>
      <w:r>
        <w:rPr>
          <w:rFonts w:hint="eastAsia"/>
          <w:sz w:val="24"/>
          <w:szCs w:val="24"/>
          <w:lang w:eastAsia="zh-CN"/>
        </w:rPr>
        <w:t>(</w:t>
      </w:r>
      <w:r>
        <w:rPr>
          <w:sz w:val="24"/>
          <w:szCs w:val="24"/>
        </w:rPr>
        <w:t>5</w:t>
      </w:r>
      <w:r>
        <w:rPr>
          <w:rFonts w:hint="eastAsia"/>
          <w:sz w:val="24"/>
          <w:szCs w:val="24"/>
          <w:lang w:eastAsia="zh-CN"/>
        </w:rPr>
        <w:t>)</w:t>
      </w:r>
      <w:r>
        <w:rPr>
          <w:sz w:val="24"/>
          <w:szCs w:val="24"/>
        </w:rPr>
        <w:t>严重违反职业道德的；</w:t>
      </w:r>
    </w:p>
    <w:p w14:paraId="3CD2E5ED">
      <w:pPr>
        <w:pStyle w:val="78"/>
        <w:spacing w:line="360" w:lineRule="auto"/>
        <w:ind w:firstLine="336"/>
        <w:jc w:val="left"/>
        <w:rPr>
          <w:rStyle w:val="82"/>
          <w:rFonts w:ascii="Times New Roman" w:hAnsi="Times New Roman"/>
          <w:b w:val="0"/>
          <w:sz w:val="24"/>
          <w:szCs w:val="24"/>
        </w:rPr>
      </w:pPr>
      <w:r>
        <w:rPr>
          <w:rFonts w:hint="eastAsia"/>
          <w:sz w:val="24"/>
          <w:szCs w:val="24"/>
          <w:lang w:eastAsia="zh-CN"/>
        </w:rPr>
        <w:t>(</w:t>
      </w:r>
      <w:r>
        <w:rPr>
          <w:sz w:val="24"/>
          <w:szCs w:val="24"/>
        </w:rPr>
        <w:t>6</w:t>
      </w:r>
      <w:r>
        <w:rPr>
          <w:rFonts w:hint="eastAsia"/>
          <w:sz w:val="24"/>
          <w:szCs w:val="24"/>
          <w:lang w:eastAsia="zh-CN"/>
        </w:rPr>
        <w:t>)</w:t>
      </w:r>
      <w:r>
        <w:rPr>
          <w:sz w:val="24"/>
          <w:szCs w:val="24"/>
        </w:rPr>
        <w:t>专用条件约定的其他情形。</w:t>
      </w:r>
    </w:p>
    <w:p w14:paraId="01CB7A1C">
      <w:pPr>
        <w:pStyle w:val="20"/>
        <w:spacing w:before="60"/>
        <w:ind w:firstLine="480" w:firstLineChars="200"/>
        <w:jc w:val="left"/>
        <w:outlineLvl w:val="9"/>
        <w:rPr>
          <w:rFonts w:ascii="Times New Roman" w:hAnsi="Times New Roman"/>
          <w:b w:val="0"/>
          <w:sz w:val="24"/>
          <w:szCs w:val="24"/>
        </w:rPr>
      </w:pPr>
      <w:bookmarkStart w:id="666" w:name="_Toc18591"/>
      <w:bookmarkStart w:id="667" w:name="_Toc50456152"/>
      <w:r>
        <w:rPr>
          <w:rFonts w:ascii="Times New Roman" w:hAnsi="Times New Roman"/>
          <w:b w:val="0"/>
          <w:sz w:val="24"/>
          <w:szCs w:val="24"/>
        </w:rPr>
        <w:t>3.2咨询人的工作要求</w:t>
      </w:r>
      <w:bookmarkEnd w:id="666"/>
      <w:bookmarkEnd w:id="667"/>
    </w:p>
    <w:p w14:paraId="761842CF">
      <w:pPr>
        <w:pStyle w:val="78"/>
        <w:spacing w:line="360" w:lineRule="auto"/>
        <w:ind w:firstLine="480" w:firstLineChars="200"/>
        <w:jc w:val="left"/>
        <w:rPr>
          <w:sz w:val="24"/>
          <w:szCs w:val="24"/>
        </w:rPr>
      </w:pPr>
      <w:r>
        <w:rPr>
          <w:sz w:val="24"/>
          <w:szCs w:val="24"/>
        </w:rPr>
        <w:t>3.2.1咨询人应当按照专用条件约定的时间等要求向委托人提供与工程造价咨询业务有关的资料，包括工程造价咨询企业的资质证书及承担本合同业务的团队人员名单及执业</w:t>
      </w:r>
      <w:r>
        <w:rPr>
          <w:rFonts w:hint="eastAsia"/>
          <w:sz w:val="24"/>
          <w:szCs w:val="24"/>
          <w:lang w:eastAsia="zh-CN"/>
        </w:rPr>
        <w:t>(</w:t>
      </w:r>
      <w:r>
        <w:rPr>
          <w:sz w:val="24"/>
          <w:szCs w:val="24"/>
        </w:rPr>
        <w:t>从业</w:t>
      </w:r>
      <w:r>
        <w:rPr>
          <w:rFonts w:hint="eastAsia"/>
          <w:sz w:val="24"/>
          <w:szCs w:val="24"/>
          <w:lang w:eastAsia="zh-CN"/>
        </w:rPr>
        <w:t>)</w:t>
      </w:r>
      <w:r>
        <w:rPr>
          <w:sz w:val="24"/>
          <w:szCs w:val="24"/>
        </w:rPr>
        <w:t>资格证书、咨询工作大纲等，并按合同约定的服务范围和工作内容实施咨询业务。</w:t>
      </w:r>
    </w:p>
    <w:p w14:paraId="1BC7F9B6">
      <w:pPr>
        <w:pStyle w:val="78"/>
        <w:spacing w:line="360" w:lineRule="auto"/>
        <w:ind w:firstLine="480" w:firstLineChars="200"/>
        <w:jc w:val="left"/>
        <w:rPr>
          <w:sz w:val="24"/>
          <w:szCs w:val="24"/>
        </w:rPr>
      </w:pPr>
      <w:r>
        <w:rPr>
          <w:sz w:val="24"/>
          <w:szCs w:val="24"/>
        </w:rPr>
        <w:t>3.2.2咨询人应当在专用条件约定的时间内，按照专用条件约定的份数、组成向委托人提交咨询成果文件。</w:t>
      </w:r>
    </w:p>
    <w:p w14:paraId="61C384EB">
      <w:pPr>
        <w:pStyle w:val="78"/>
        <w:spacing w:line="360" w:lineRule="auto"/>
        <w:ind w:firstLine="480" w:firstLineChars="200"/>
        <w:jc w:val="left"/>
        <w:rPr>
          <w:sz w:val="24"/>
          <w:szCs w:val="24"/>
        </w:rPr>
      </w:pPr>
      <w:r>
        <w:rPr>
          <w:sz w:val="24"/>
          <w:szCs w:val="24"/>
        </w:rPr>
        <w:t>咨询人提供造价咨询服务以及出具工程造价咨询成果文件应符合现行国家或行业有关规定、标准、规范的要求。委托人要求的工程造价咨询成果文件质量标准高于现行国家或行业标准的，应在专用条件中约定具体的质量标准，并相应增加服务酬金。</w:t>
      </w:r>
    </w:p>
    <w:p w14:paraId="24CF285A">
      <w:pPr>
        <w:pStyle w:val="78"/>
        <w:spacing w:line="360" w:lineRule="auto"/>
        <w:ind w:firstLine="480" w:firstLineChars="200"/>
        <w:jc w:val="left"/>
        <w:rPr>
          <w:sz w:val="24"/>
          <w:szCs w:val="24"/>
        </w:rPr>
      </w:pPr>
      <w:r>
        <w:rPr>
          <w:sz w:val="24"/>
          <w:szCs w:val="24"/>
        </w:rPr>
        <w:t>3.2.3咨询人提交的工程造价咨询成果文件，除加盖咨询人单位公章、工程造价咨询企业执业印章外，还必须按要求加盖参加咨询工作人员的执业</w:t>
      </w:r>
      <w:r>
        <w:rPr>
          <w:rFonts w:hint="eastAsia"/>
          <w:sz w:val="24"/>
          <w:szCs w:val="24"/>
          <w:lang w:eastAsia="zh-CN"/>
        </w:rPr>
        <w:t>(</w:t>
      </w:r>
      <w:r>
        <w:rPr>
          <w:sz w:val="24"/>
          <w:szCs w:val="24"/>
        </w:rPr>
        <w:t>从业</w:t>
      </w:r>
      <w:r>
        <w:rPr>
          <w:rFonts w:hint="eastAsia"/>
          <w:sz w:val="24"/>
          <w:szCs w:val="24"/>
          <w:lang w:eastAsia="zh-CN"/>
        </w:rPr>
        <w:t>)</w:t>
      </w:r>
      <w:r>
        <w:rPr>
          <w:sz w:val="24"/>
          <w:szCs w:val="24"/>
        </w:rPr>
        <w:t>资格印章。</w:t>
      </w:r>
    </w:p>
    <w:p w14:paraId="3A4BDDA3">
      <w:pPr>
        <w:pStyle w:val="78"/>
        <w:spacing w:line="360" w:lineRule="auto"/>
        <w:ind w:firstLine="480" w:firstLineChars="200"/>
        <w:jc w:val="left"/>
        <w:rPr>
          <w:sz w:val="24"/>
          <w:szCs w:val="24"/>
        </w:rPr>
      </w:pPr>
      <w:r>
        <w:rPr>
          <w:sz w:val="24"/>
          <w:szCs w:val="24"/>
        </w:rPr>
        <w:t>3.2.4咨询人应在专用条件约定的时间内，对委托人以书面形式提出的建议或者异议给予书面答复。</w:t>
      </w:r>
    </w:p>
    <w:p w14:paraId="0B8280FF">
      <w:pPr>
        <w:pStyle w:val="78"/>
        <w:spacing w:line="360" w:lineRule="auto"/>
        <w:ind w:firstLine="480" w:firstLineChars="200"/>
        <w:jc w:val="left"/>
        <w:rPr>
          <w:sz w:val="24"/>
          <w:szCs w:val="24"/>
        </w:rPr>
      </w:pPr>
      <w:r>
        <w:rPr>
          <w:sz w:val="24"/>
          <w:szCs w:val="24"/>
        </w:rPr>
        <w:t>3.2.5咨询人从事工程造价咨询活动，应当遵循独立、客观、公正、诚</w:t>
      </w:r>
    </w:p>
    <w:p w14:paraId="289B74C1">
      <w:pPr>
        <w:pStyle w:val="78"/>
        <w:spacing w:line="360" w:lineRule="auto"/>
        <w:jc w:val="left"/>
        <w:rPr>
          <w:sz w:val="24"/>
          <w:szCs w:val="24"/>
        </w:rPr>
      </w:pPr>
      <w:r>
        <w:rPr>
          <w:sz w:val="24"/>
          <w:szCs w:val="24"/>
        </w:rPr>
        <w:t>实信用的原则，不得损害社会公共利益和他人的合法权益。</w:t>
      </w:r>
    </w:p>
    <w:p w14:paraId="6EDAD9D7">
      <w:pPr>
        <w:pStyle w:val="78"/>
        <w:spacing w:line="360" w:lineRule="auto"/>
        <w:ind w:firstLine="480" w:firstLineChars="200"/>
        <w:jc w:val="left"/>
        <w:rPr>
          <w:sz w:val="24"/>
          <w:szCs w:val="24"/>
        </w:rPr>
      </w:pPr>
      <w:r>
        <w:rPr>
          <w:sz w:val="24"/>
          <w:szCs w:val="24"/>
        </w:rPr>
        <w:t>3.2.6咨询人承诺按照法律规定及合同约定，完成合同范围内的建设工程造价咨询服务，不转包承接的造价咨询服务业务。</w:t>
      </w:r>
    </w:p>
    <w:p w14:paraId="5CE4031E">
      <w:pPr>
        <w:pStyle w:val="20"/>
        <w:spacing w:before="60"/>
        <w:ind w:firstLine="480" w:firstLineChars="200"/>
        <w:jc w:val="left"/>
        <w:outlineLvl w:val="9"/>
        <w:rPr>
          <w:rFonts w:ascii="Times New Roman" w:hAnsi="Times New Roman"/>
          <w:b w:val="0"/>
          <w:sz w:val="24"/>
          <w:szCs w:val="24"/>
        </w:rPr>
      </w:pPr>
      <w:bookmarkStart w:id="668" w:name="_Toc295"/>
      <w:bookmarkStart w:id="669" w:name="_Toc419045081"/>
      <w:bookmarkStart w:id="670" w:name="_Toc50456153"/>
      <w:r>
        <w:rPr>
          <w:rFonts w:ascii="Times New Roman" w:hAnsi="Times New Roman"/>
          <w:b w:val="0"/>
          <w:sz w:val="24"/>
          <w:szCs w:val="24"/>
        </w:rPr>
        <w:t>3.3咨询人的工作依据</w:t>
      </w:r>
      <w:bookmarkEnd w:id="668"/>
      <w:bookmarkEnd w:id="669"/>
      <w:bookmarkEnd w:id="670"/>
    </w:p>
    <w:p w14:paraId="32587309">
      <w:pPr>
        <w:pStyle w:val="78"/>
        <w:spacing w:line="360" w:lineRule="auto"/>
        <w:ind w:firstLine="480" w:firstLineChars="200"/>
        <w:jc w:val="left"/>
        <w:rPr>
          <w:sz w:val="24"/>
          <w:szCs w:val="24"/>
        </w:rPr>
      </w:pPr>
      <w:r>
        <w:rPr>
          <w:sz w:val="24"/>
          <w:szCs w:val="24"/>
        </w:rPr>
        <w:t>咨询人应在专用条件内与委托人协商明确履行本合同约定的咨询服务需要适用的技术标准、规范、定额等工作依据，但不得违反国家及工程所在地的强制性标准、规范。</w:t>
      </w:r>
    </w:p>
    <w:p w14:paraId="0641F1A5">
      <w:pPr>
        <w:pStyle w:val="78"/>
        <w:spacing w:line="360" w:lineRule="auto"/>
        <w:ind w:firstLine="480" w:firstLineChars="200"/>
        <w:jc w:val="left"/>
        <w:rPr>
          <w:sz w:val="24"/>
          <w:szCs w:val="24"/>
        </w:rPr>
      </w:pPr>
      <w:r>
        <w:rPr>
          <w:sz w:val="24"/>
          <w:szCs w:val="24"/>
        </w:rPr>
        <w:t>咨询人应自行配备本条所述的技术标准、规范、定额等相关资料。必须由委托人提供的资料，应在附录C中载明。需要委托人协助才能获得的资料，委托人应予以协助。</w:t>
      </w:r>
    </w:p>
    <w:p w14:paraId="2AE00476">
      <w:pPr>
        <w:pStyle w:val="20"/>
        <w:spacing w:before="60"/>
        <w:ind w:firstLine="480" w:firstLineChars="200"/>
        <w:jc w:val="left"/>
        <w:outlineLvl w:val="9"/>
        <w:rPr>
          <w:rFonts w:ascii="Times New Roman" w:hAnsi="Times New Roman"/>
          <w:b w:val="0"/>
          <w:sz w:val="24"/>
          <w:szCs w:val="24"/>
        </w:rPr>
      </w:pPr>
      <w:bookmarkStart w:id="671" w:name="_Toc20715"/>
      <w:bookmarkStart w:id="672" w:name="_Toc419045082"/>
      <w:bookmarkStart w:id="673" w:name="_Toc50456154"/>
      <w:r>
        <w:rPr>
          <w:rFonts w:ascii="Times New Roman" w:hAnsi="Times New Roman"/>
          <w:b w:val="0"/>
          <w:sz w:val="24"/>
          <w:szCs w:val="24"/>
        </w:rPr>
        <w:t>3.4使用委托人房屋及设备的返还</w:t>
      </w:r>
      <w:bookmarkEnd w:id="671"/>
      <w:bookmarkEnd w:id="672"/>
      <w:bookmarkEnd w:id="673"/>
    </w:p>
    <w:p w14:paraId="6F17DB36">
      <w:pPr>
        <w:pStyle w:val="78"/>
        <w:spacing w:line="360" w:lineRule="auto"/>
        <w:ind w:firstLine="480" w:firstLineChars="200"/>
        <w:jc w:val="left"/>
        <w:rPr>
          <w:sz w:val="24"/>
          <w:szCs w:val="24"/>
        </w:rPr>
      </w:pPr>
      <w:r>
        <w:rPr>
          <w:sz w:val="24"/>
          <w:szCs w:val="24"/>
        </w:rPr>
        <w:t>项目咨询人员使用委托人提供的房屋及设备的，咨询人应妥善使用和保管，在本合同终止时将上述房屋及设备按专用条件约定的时间和方式返还委托人。</w:t>
      </w:r>
    </w:p>
    <w:bookmarkEnd w:id="665"/>
    <w:p w14:paraId="0141973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674" w:name="_Toc50456155"/>
      <w:bookmarkStart w:id="675" w:name="_Toc419045083"/>
      <w:bookmarkStart w:id="676" w:name="_Toc17976"/>
      <w:bookmarkStart w:id="677" w:name="19"/>
      <w:r>
        <w:rPr>
          <w:rFonts w:hint="eastAsia" w:ascii="宋体" w:hAnsi="宋体" w:eastAsia="宋体" w:cs="宋体"/>
        </w:rPr>
        <w:t>4.违约责任</w:t>
      </w:r>
      <w:bookmarkEnd w:id="674"/>
      <w:bookmarkEnd w:id="675"/>
    </w:p>
    <w:bookmarkEnd w:id="676"/>
    <w:p w14:paraId="4C53B2EF">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678" w:name="_Toc1649"/>
      <w:bookmarkStart w:id="679" w:name="_Toc50456156"/>
      <w:r>
        <w:rPr>
          <w:rFonts w:hint="eastAsia" w:ascii="宋体" w:hAnsi="宋体" w:eastAsia="宋体" w:cs="宋体"/>
        </w:rPr>
        <w:t>4.1委托人的违约责任</w:t>
      </w:r>
      <w:bookmarkEnd w:id="678"/>
      <w:bookmarkEnd w:id="679"/>
    </w:p>
    <w:p w14:paraId="4204685F">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4.1.1委托人不履行本合同义务或者履行义务不符合本合同约定的，应承担违约责任。双方可在专用条件中约定违约金的计算及支付方法。</w:t>
      </w:r>
    </w:p>
    <w:p w14:paraId="3E24D8E2">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4.1.2委托人违反本合同约定造成咨询人损失的，委托人应予以赔偿。双方可在专用条件中约定赔偿金额的确定及支付方法。</w:t>
      </w:r>
    </w:p>
    <w:p w14:paraId="26A11DCF">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4.1.3委托人未能按期支付酬金超过14天，应按下列方法计算并支付逾期付款利息。逾期付款利息=当期应付款总额×中国人民银行发布的同期贷款基准利率×逾期支付天数</w:t>
      </w:r>
      <w:r>
        <w:rPr>
          <w:rFonts w:hint="eastAsia" w:ascii="宋体" w:hAnsi="宋体" w:eastAsia="宋体" w:cs="宋体"/>
          <w:lang w:eastAsia="zh-CN"/>
        </w:rPr>
        <w:t>(</w:t>
      </w:r>
      <w:r>
        <w:rPr>
          <w:rFonts w:hint="eastAsia" w:ascii="宋体" w:hAnsi="宋体" w:eastAsia="宋体" w:cs="宋体"/>
        </w:rPr>
        <w:t>自逾期之日起计算</w:t>
      </w:r>
      <w:r>
        <w:rPr>
          <w:rFonts w:hint="eastAsia" w:ascii="宋体" w:hAnsi="宋体" w:eastAsia="宋体" w:cs="宋体"/>
          <w:lang w:eastAsia="zh-CN"/>
        </w:rPr>
        <w:t>)</w:t>
      </w:r>
      <w:r>
        <w:rPr>
          <w:rFonts w:hint="eastAsia" w:ascii="宋体" w:hAnsi="宋体" w:eastAsia="宋体" w:cs="宋体"/>
        </w:rPr>
        <w:t>。双方也可在专用条件中另行约定逾期付款利息的计算及支付方法。</w:t>
      </w:r>
    </w:p>
    <w:p w14:paraId="0E01618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680" w:name="_Toc15256"/>
      <w:bookmarkStart w:id="681" w:name="_Toc419045084"/>
      <w:bookmarkStart w:id="682" w:name="_Toc50456157"/>
      <w:r>
        <w:rPr>
          <w:rFonts w:hint="eastAsia" w:ascii="宋体" w:hAnsi="宋体" w:eastAsia="宋体" w:cs="宋体"/>
        </w:rPr>
        <w:t>4.2咨询人的违约责任</w:t>
      </w:r>
      <w:bookmarkEnd w:id="680"/>
      <w:bookmarkEnd w:id="681"/>
      <w:bookmarkEnd w:id="682"/>
    </w:p>
    <w:p w14:paraId="6607048E">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4.2.1咨询人不履行本合同义务或者履行义务不符合本合同约定的，应承担违约责任。双方可在专用条件中约定违约金的计算及支付方法。</w:t>
      </w:r>
    </w:p>
    <w:p w14:paraId="3646A23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4.2.2因咨询人违反本合同约定给委托人造成损失的，咨询人应当赔偿委托人损失。双方可在专用条件中约定赔偿金额的确定及支付方法。</w:t>
      </w:r>
    </w:p>
    <w:p w14:paraId="4ECAD227">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683" w:name="_Toc50456158"/>
      <w:bookmarkStart w:id="684" w:name="_Toc419045086"/>
      <w:bookmarkStart w:id="685" w:name="_Toc30754"/>
      <w:r>
        <w:rPr>
          <w:rFonts w:hint="eastAsia" w:ascii="宋体" w:hAnsi="宋体" w:eastAsia="宋体" w:cs="宋体"/>
        </w:rPr>
        <w:t>5.支付</w:t>
      </w:r>
      <w:bookmarkEnd w:id="683"/>
      <w:bookmarkEnd w:id="684"/>
    </w:p>
    <w:bookmarkEnd w:id="685"/>
    <w:p w14:paraId="55ED13C2">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686" w:name="_Toc13881"/>
      <w:bookmarkStart w:id="687" w:name="_Toc419045087"/>
      <w:bookmarkStart w:id="688" w:name="_Toc50456159"/>
      <w:r>
        <w:rPr>
          <w:rFonts w:hint="eastAsia" w:ascii="宋体" w:hAnsi="宋体" w:eastAsia="宋体" w:cs="宋体"/>
        </w:rPr>
        <w:t>5.1支付货币</w:t>
      </w:r>
      <w:bookmarkEnd w:id="686"/>
      <w:bookmarkEnd w:id="687"/>
      <w:bookmarkEnd w:id="688"/>
    </w:p>
    <w:p w14:paraId="031BE168">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　　除专用条件另有约定外，酬金均以人民币支付。涉及外币支付的，所采用的货币种类和汇率等在专用条件中约定。</w:t>
      </w:r>
    </w:p>
    <w:p w14:paraId="5FA303C8">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689" w:name="_Toc50456160"/>
      <w:bookmarkStart w:id="690" w:name="_Toc18883"/>
      <w:r>
        <w:rPr>
          <w:rFonts w:hint="eastAsia" w:ascii="宋体" w:hAnsi="宋体" w:eastAsia="宋体" w:cs="宋体"/>
        </w:rPr>
        <w:t>5.2支付申请</w:t>
      </w:r>
      <w:bookmarkEnd w:id="689"/>
      <w:bookmarkEnd w:id="690"/>
    </w:p>
    <w:p w14:paraId="0BD507EC">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　　咨询人应在本合同约定的每次应付款日期前，向委托人提交支付申请书，支付申请书的提交日期由双方在专用条件中约定。支付申请书应当说明当期应付款总额，并列出当期应支付的款项及其金额。</w:t>
      </w:r>
    </w:p>
    <w:p w14:paraId="069DA14F">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691" w:name="_Toc50456161"/>
      <w:bookmarkStart w:id="692" w:name="_Toc27366"/>
      <w:r>
        <w:rPr>
          <w:rFonts w:hint="eastAsia" w:ascii="宋体" w:hAnsi="宋体" w:eastAsia="宋体" w:cs="宋体"/>
        </w:rPr>
        <w:t>5.3支付酬金</w:t>
      </w:r>
      <w:bookmarkEnd w:id="691"/>
      <w:bookmarkEnd w:id="692"/>
    </w:p>
    <w:p w14:paraId="68420C7E">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　　支付酬金包括正常工作酬金、附加工作酬金、合理化建议奖励金额及费用。</w:t>
      </w:r>
    </w:p>
    <w:p w14:paraId="48E631D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693" w:name="_Toc25767"/>
      <w:bookmarkStart w:id="694" w:name="_Toc50456162"/>
      <w:r>
        <w:rPr>
          <w:rFonts w:hint="eastAsia" w:ascii="宋体" w:hAnsi="宋体" w:eastAsia="宋体" w:cs="宋体"/>
        </w:rPr>
        <w:t>5.4有异议部分的支付</w:t>
      </w:r>
      <w:bookmarkEnd w:id="693"/>
      <w:bookmarkEnd w:id="694"/>
    </w:p>
    <w:p w14:paraId="4212C671">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　　委托人对咨询人提交的支付申请书有异议时，应当在收到咨询人提交的支付申请书后7日内，以书面形式向咨询人发出异议通知。无异议部分的款项应按期支付，有异议部分的款项按第7条约定办理。</w:t>
      </w:r>
    </w:p>
    <w:p w14:paraId="6553C5E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695" w:name="_Toc50456163"/>
      <w:bookmarkStart w:id="696" w:name="_Toc419045088"/>
      <w:bookmarkStart w:id="697" w:name="_Toc20113"/>
      <w:r>
        <w:rPr>
          <w:rFonts w:hint="eastAsia" w:ascii="宋体" w:hAnsi="宋体" w:eastAsia="宋体" w:cs="宋体"/>
        </w:rPr>
        <w:t>6.合同变更、解除与终止</w:t>
      </w:r>
      <w:bookmarkEnd w:id="695"/>
      <w:bookmarkEnd w:id="696"/>
    </w:p>
    <w:bookmarkEnd w:id="697"/>
    <w:p w14:paraId="59DB00A2">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698" w:name="_Toc32576"/>
      <w:bookmarkStart w:id="699" w:name="_Toc50456164"/>
      <w:bookmarkStart w:id="700" w:name="_Toc419045089"/>
      <w:r>
        <w:rPr>
          <w:rFonts w:hint="eastAsia" w:ascii="宋体" w:hAnsi="宋体" w:eastAsia="宋体" w:cs="宋体"/>
        </w:rPr>
        <w:t>6.1合同变更</w:t>
      </w:r>
      <w:bookmarkEnd w:id="698"/>
      <w:bookmarkEnd w:id="699"/>
      <w:bookmarkEnd w:id="700"/>
      <w:r>
        <w:rPr>
          <w:rFonts w:hint="eastAsia" w:ascii="宋体" w:hAnsi="宋体" w:eastAsia="宋体" w:cs="宋体"/>
        </w:rPr>
        <w:t xml:space="preserve"> </w:t>
      </w:r>
      <w:r>
        <w:rPr>
          <w:rFonts w:hint="eastAsia" w:ascii="宋体" w:hAnsi="宋体" w:eastAsia="宋体" w:cs="宋体"/>
        </w:rPr>
        <w:br w:type="textWrapping"/>
      </w:r>
      <w:r>
        <w:rPr>
          <w:rFonts w:hint="eastAsia" w:ascii="宋体" w:hAnsi="宋体" w:eastAsia="宋体" w:cs="宋体"/>
        </w:rPr>
        <w:t xml:space="preserve">  　6.1.1任何一方以书面形式提出变更请求时，双方经协商一致后可进行变更。</w:t>
      </w:r>
      <w:r>
        <w:rPr>
          <w:rFonts w:hint="eastAsia" w:ascii="宋体" w:hAnsi="宋体" w:eastAsia="宋体" w:cs="宋体"/>
        </w:rPr>
        <w:br w:type="textWrapping"/>
      </w:r>
      <w:r>
        <w:rPr>
          <w:rFonts w:hint="eastAsia" w:ascii="宋体" w:hAnsi="宋体" w:eastAsia="宋体" w:cs="宋体"/>
        </w:rPr>
        <w:t>　　6.1.2除不可抗力外，因非咨询人原因导致咨询人履行合同期限延长、内容增加时，咨询人应当将此情况与可能产生的影响及时通知委托人。增加的工作时间或工作内容应视为附加工作。附加工作酬金的确定方法由双方根据委托的服务范围及工作内容在专用条件中约定。</w:t>
      </w:r>
    </w:p>
    <w:p w14:paraId="41B4340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6.1.3合同履行过程中，遇有与工程相关的法律法规、强制性标准颁布或修订的，双方应遵照执行。非强制性标准、规范、定额等发生变化的，双方协商确定执行依据。由此引起造价咨询的服务范围及内容、服务期限、酬金变化的，双方应通过协商确定。</w:t>
      </w:r>
      <w:r>
        <w:rPr>
          <w:rFonts w:hint="eastAsia" w:ascii="宋体" w:hAnsi="宋体" w:eastAsia="宋体" w:cs="宋体"/>
        </w:rPr>
        <w:br w:type="textWrapping"/>
      </w:r>
      <w:r>
        <w:rPr>
          <w:rFonts w:hint="eastAsia" w:ascii="宋体" w:hAnsi="宋体" w:eastAsia="宋体" w:cs="宋体"/>
        </w:rPr>
        <w:t>　　6.1.4因工程规模、服务范围及工作内容的变化等导致咨询人的工作量增减时，服务酬金应作相应调整，调整方法由双方在专用条件中约定。</w:t>
      </w:r>
    </w:p>
    <w:p w14:paraId="393C969B">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01" w:name="_Toc419045090"/>
      <w:bookmarkStart w:id="702" w:name="_Toc50456165"/>
      <w:bookmarkStart w:id="703" w:name="_Toc1567"/>
      <w:r>
        <w:rPr>
          <w:rFonts w:hint="eastAsia" w:ascii="宋体" w:hAnsi="宋体" w:eastAsia="宋体" w:cs="宋体"/>
        </w:rPr>
        <w:t>6.2合同解除</w:t>
      </w:r>
      <w:bookmarkEnd w:id="701"/>
      <w:bookmarkEnd w:id="702"/>
    </w:p>
    <w:bookmarkEnd w:id="703"/>
    <w:p w14:paraId="646A9CA3">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6.2.1委托人与咨询人协商一致，可以解除合同。</w:t>
      </w:r>
    </w:p>
    <w:p w14:paraId="6907FB5E">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6.2.2 有下列情形之一的，合同当事人一方或双方可以解除合同：</w:t>
      </w:r>
    </w:p>
    <w:p w14:paraId="7243436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1</w:t>
      </w:r>
      <w:r>
        <w:rPr>
          <w:rFonts w:hint="eastAsia" w:ascii="宋体" w:hAnsi="宋体" w:eastAsia="宋体" w:cs="宋体"/>
          <w:lang w:eastAsia="zh-CN"/>
        </w:rPr>
        <w:t>)</w:t>
      </w:r>
      <w:r>
        <w:rPr>
          <w:rFonts w:hint="eastAsia" w:ascii="宋体" w:hAnsi="宋体" w:eastAsia="宋体" w:cs="宋体"/>
        </w:rPr>
        <w:t>咨询人将本合同约定的工程造价咨询服务工作全部或部分转包给他人，委托人可以解除合同；</w:t>
      </w:r>
      <w:r>
        <w:rPr>
          <w:rFonts w:hint="eastAsia" w:ascii="宋体" w:hAnsi="宋体" w:eastAsia="宋体" w:cs="宋体"/>
        </w:rPr>
        <w:br w:type="textWrapping"/>
      </w:r>
      <w:r>
        <w:rPr>
          <w:rFonts w:hint="eastAsia" w:ascii="宋体" w:hAnsi="宋体" w:eastAsia="宋体" w:cs="宋体"/>
        </w:rPr>
        <w:t xml:space="preserve">    </w:t>
      </w:r>
      <w:r>
        <w:rPr>
          <w:rFonts w:hint="eastAsia" w:ascii="宋体" w:hAnsi="宋体" w:eastAsia="宋体" w:cs="宋体"/>
          <w:lang w:eastAsia="zh-CN"/>
        </w:rPr>
        <w:t>(</w:t>
      </w:r>
      <w:r>
        <w:rPr>
          <w:rFonts w:hint="eastAsia" w:ascii="宋体" w:hAnsi="宋体" w:eastAsia="宋体" w:cs="宋体"/>
        </w:rPr>
        <w:t>2</w:t>
      </w:r>
      <w:r>
        <w:rPr>
          <w:rFonts w:hint="eastAsia" w:ascii="宋体" w:hAnsi="宋体" w:eastAsia="宋体" w:cs="宋体"/>
          <w:lang w:eastAsia="zh-CN"/>
        </w:rPr>
        <w:t>)</w:t>
      </w:r>
      <w:r>
        <w:rPr>
          <w:rFonts w:hint="eastAsia" w:ascii="宋体" w:hAnsi="宋体" w:eastAsia="宋体" w:cs="宋体"/>
        </w:rPr>
        <w:t>咨询人提供的造价咨询服务不符合合同约定的要求，经委托人催告仍不能达到合同约定要求的，委托人可以解除合同；</w:t>
      </w:r>
    </w:p>
    <w:p w14:paraId="197DA2BB">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3</w:t>
      </w:r>
      <w:r>
        <w:rPr>
          <w:rFonts w:hint="eastAsia" w:ascii="宋体" w:hAnsi="宋体" w:eastAsia="宋体" w:cs="宋体"/>
          <w:lang w:eastAsia="zh-CN"/>
        </w:rPr>
        <w:t>)</w:t>
      </w:r>
      <w:r>
        <w:rPr>
          <w:rFonts w:hint="eastAsia" w:ascii="宋体" w:hAnsi="宋体" w:eastAsia="宋体" w:cs="宋体"/>
        </w:rPr>
        <w:t>委托人未按合同约定支付服务酬金，经咨询人催告后，在28天内仍未支付的，咨询人可以解除合同；</w:t>
      </w:r>
    </w:p>
    <w:p w14:paraId="03D8B162">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4</w:t>
      </w:r>
      <w:r>
        <w:rPr>
          <w:rFonts w:hint="eastAsia" w:ascii="宋体" w:hAnsi="宋体" w:eastAsia="宋体" w:cs="宋体"/>
          <w:lang w:eastAsia="zh-CN"/>
        </w:rPr>
        <w:t>)</w:t>
      </w:r>
      <w:r>
        <w:rPr>
          <w:rFonts w:hint="eastAsia" w:ascii="宋体" w:hAnsi="宋体" w:eastAsia="宋体" w:cs="宋体"/>
        </w:rPr>
        <w:t>因不可抗力致使合同无法履行；</w:t>
      </w:r>
    </w:p>
    <w:p w14:paraId="2B19C11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rPr>
        <w:t>5</w:t>
      </w:r>
      <w:r>
        <w:rPr>
          <w:rFonts w:hint="eastAsia" w:ascii="宋体" w:hAnsi="宋体" w:eastAsia="宋体" w:cs="宋体"/>
          <w:lang w:eastAsia="zh-CN"/>
        </w:rPr>
        <w:t>)</w:t>
      </w:r>
      <w:r>
        <w:rPr>
          <w:rFonts w:hint="eastAsia" w:ascii="宋体" w:hAnsi="宋体" w:eastAsia="宋体" w:cs="宋体"/>
        </w:rPr>
        <w:t>因一方违约致使合同无法实际履行或实际履行已无必要。</w:t>
      </w:r>
    </w:p>
    <w:p w14:paraId="16114395">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除上述情形外，双方可以根据委托的服务范围及工作内容，在专用条件中约定解除合同的其他条件。</w:t>
      </w:r>
    </w:p>
    <w:p w14:paraId="2F5A75C2">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6.2.3任何一方提出解除合同的，应提前30天书面通知对方。</w:t>
      </w:r>
    </w:p>
    <w:p w14:paraId="3C646A05">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6.2.4合同解除后，委托人应按照合同约定向咨询人支付已完成部分的咨询服务酬金。</w:t>
      </w:r>
    </w:p>
    <w:p w14:paraId="734413C9">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因不可抗力导致的合同解除，其损失的分担按照合理分担的原则由合同当事人在专用条件中自行约定。除不可抗力外因非咨询人原因导致的合同解除，其损失由委托人承担。因咨询人自身原因导致的合同解除，按照违约责任处理。</w:t>
      </w:r>
    </w:p>
    <w:p w14:paraId="15B7FB49">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6.2.5本合同解除后，本合同约定的有关结算、争议解决方式的条款仍然有效。</w:t>
      </w:r>
    </w:p>
    <w:p w14:paraId="4E2FDD5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04" w:name="_Toc50456166"/>
      <w:bookmarkStart w:id="705" w:name="_Toc14889"/>
      <w:r>
        <w:rPr>
          <w:rFonts w:hint="eastAsia" w:ascii="宋体" w:hAnsi="宋体" w:eastAsia="宋体" w:cs="宋体"/>
        </w:rPr>
        <w:t>6.3合同终止</w:t>
      </w:r>
      <w:bookmarkEnd w:id="704"/>
      <w:bookmarkEnd w:id="705"/>
      <w:r>
        <w:rPr>
          <w:rFonts w:hint="eastAsia" w:ascii="宋体" w:hAnsi="宋体" w:eastAsia="宋体" w:cs="宋体"/>
        </w:rPr>
        <w:br w:type="textWrapping"/>
      </w:r>
      <w:r>
        <w:rPr>
          <w:rFonts w:hint="eastAsia" w:ascii="宋体" w:hAnsi="宋体" w:eastAsia="宋体" w:cs="宋体"/>
        </w:rPr>
        <w:t>　　除合同解除外，以下条件全部满足时，本合同终止：</w:t>
      </w:r>
      <w:r>
        <w:rPr>
          <w:rFonts w:hint="eastAsia" w:ascii="宋体" w:hAnsi="宋体" w:eastAsia="宋体" w:cs="宋体"/>
        </w:rPr>
        <w:br w:type="textWrapping"/>
      </w:r>
      <w:r>
        <w:rPr>
          <w:rFonts w:hint="eastAsia" w:ascii="宋体" w:hAnsi="宋体" w:eastAsia="宋体" w:cs="宋体"/>
        </w:rPr>
        <w:t xml:space="preserve">　 </w:t>
      </w:r>
      <w:r>
        <w:rPr>
          <w:rFonts w:hint="eastAsia" w:ascii="宋体" w:hAnsi="宋体" w:eastAsia="宋体" w:cs="宋体"/>
          <w:lang w:eastAsia="zh-CN"/>
        </w:rPr>
        <w:t>(</w:t>
      </w:r>
      <w:r>
        <w:rPr>
          <w:rFonts w:hint="eastAsia" w:ascii="宋体" w:hAnsi="宋体" w:eastAsia="宋体" w:cs="宋体"/>
        </w:rPr>
        <w:t>1</w:t>
      </w:r>
      <w:r>
        <w:rPr>
          <w:rFonts w:hint="eastAsia" w:ascii="宋体" w:hAnsi="宋体" w:eastAsia="宋体" w:cs="宋体"/>
          <w:lang w:eastAsia="zh-CN"/>
        </w:rPr>
        <w:t>)</w:t>
      </w:r>
      <w:r>
        <w:rPr>
          <w:rFonts w:hint="eastAsia" w:ascii="宋体" w:hAnsi="宋体" w:eastAsia="宋体" w:cs="宋体"/>
        </w:rPr>
        <w:t>咨询人完成本合同约定的全部工作；</w:t>
      </w:r>
      <w:r>
        <w:rPr>
          <w:rFonts w:hint="eastAsia" w:ascii="宋体" w:hAnsi="宋体" w:eastAsia="宋体" w:cs="宋体"/>
        </w:rPr>
        <w:br w:type="textWrapping"/>
      </w:r>
      <w:r>
        <w:rPr>
          <w:rFonts w:hint="eastAsia" w:ascii="宋体" w:hAnsi="宋体" w:eastAsia="宋体" w:cs="宋体"/>
        </w:rPr>
        <w:t xml:space="preserve">　 </w:t>
      </w:r>
      <w:r>
        <w:rPr>
          <w:rFonts w:hint="eastAsia" w:ascii="宋体" w:hAnsi="宋体" w:eastAsia="宋体" w:cs="宋体"/>
          <w:lang w:eastAsia="zh-CN"/>
        </w:rPr>
        <w:t>(</w:t>
      </w:r>
      <w:r>
        <w:rPr>
          <w:rFonts w:hint="eastAsia" w:ascii="宋体" w:hAnsi="宋体" w:eastAsia="宋体" w:cs="宋体"/>
        </w:rPr>
        <w:t>2</w:t>
      </w:r>
      <w:r>
        <w:rPr>
          <w:rFonts w:hint="eastAsia" w:ascii="宋体" w:hAnsi="宋体" w:eastAsia="宋体" w:cs="宋体"/>
          <w:lang w:eastAsia="zh-CN"/>
        </w:rPr>
        <w:t>)</w:t>
      </w:r>
      <w:r>
        <w:rPr>
          <w:rFonts w:hint="eastAsia" w:ascii="宋体" w:hAnsi="宋体" w:eastAsia="宋体" w:cs="宋体"/>
        </w:rPr>
        <w:t>委托人与咨询人结清并支付酬金；</w:t>
      </w:r>
    </w:p>
    <w:p w14:paraId="1D4B0077">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eastAsia="zh-CN"/>
        </w:rPr>
        <w:t>(</w:t>
      </w:r>
      <w:r>
        <w:rPr>
          <w:rFonts w:hint="eastAsia" w:ascii="宋体" w:hAnsi="宋体" w:eastAsia="宋体" w:cs="宋体"/>
        </w:rPr>
        <w:t>3</w:t>
      </w:r>
      <w:r>
        <w:rPr>
          <w:rFonts w:hint="eastAsia" w:ascii="宋体" w:hAnsi="宋体" w:eastAsia="宋体" w:cs="宋体"/>
          <w:lang w:eastAsia="zh-CN"/>
        </w:rPr>
        <w:t>)</w:t>
      </w:r>
      <w:r>
        <w:rPr>
          <w:rFonts w:hint="eastAsia" w:ascii="宋体" w:hAnsi="宋体" w:eastAsia="宋体" w:cs="宋体"/>
        </w:rPr>
        <w:t>咨询人将委托人提供的资料交还。</w:t>
      </w:r>
    </w:p>
    <w:p w14:paraId="615D8F0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06" w:name="_Toc50456167"/>
      <w:bookmarkStart w:id="707" w:name="_Toc419045091"/>
      <w:bookmarkStart w:id="708" w:name="_Toc18891"/>
      <w:r>
        <w:rPr>
          <w:rFonts w:hint="eastAsia" w:ascii="宋体" w:hAnsi="宋体" w:eastAsia="宋体" w:cs="宋体"/>
        </w:rPr>
        <w:t>7.争议解决</w:t>
      </w:r>
      <w:bookmarkEnd w:id="677"/>
      <w:bookmarkEnd w:id="706"/>
      <w:bookmarkEnd w:id="707"/>
    </w:p>
    <w:bookmarkEnd w:id="708"/>
    <w:p w14:paraId="5D43CE9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09" w:name="_Toc18071"/>
      <w:bookmarkStart w:id="710" w:name="_Toc419045092"/>
      <w:bookmarkStart w:id="711" w:name="_Toc50456168"/>
      <w:r>
        <w:rPr>
          <w:rFonts w:hint="eastAsia" w:ascii="宋体" w:hAnsi="宋体" w:eastAsia="宋体" w:cs="宋体"/>
        </w:rPr>
        <w:t>7.1协商</w:t>
      </w:r>
      <w:bookmarkEnd w:id="709"/>
      <w:bookmarkEnd w:id="710"/>
      <w:bookmarkEnd w:id="711"/>
      <w:r>
        <w:rPr>
          <w:rFonts w:hint="eastAsia" w:ascii="宋体" w:hAnsi="宋体" w:eastAsia="宋体" w:cs="宋体"/>
        </w:rPr>
        <w:br w:type="textWrapping"/>
      </w:r>
      <w:r>
        <w:rPr>
          <w:rFonts w:hint="eastAsia" w:ascii="宋体" w:hAnsi="宋体" w:eastAsia="宋体" w:cs="宋体"/>
        </w:rPr>
        <w:t>　　双方应本着诚实信用的原则协商解决本合同履行过程中发生的争议。</w:t>
      </w:r>
      <w:bookmarkStart w:id="712" w:name="37"/>
    </w:p>
    <w:p w14:paraId="0D5842CE">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13" w:name="_Toc50456169"/>
      <w:bookmarkStart w:id="714" w:name="_Toc419045093"/>
      <w:bookmarkStart w:id="715" w:name="_Toc74"/>
      <w:r>
        <w:rPr>
          <w:rFonts w:hint="eastAsia" w:ascii="宋体" w:hAnsi="宋体" w:eastAsia="宋体" w:cs="宋体"/>
        </w:rPr>
        <w:t>7.2</w:t>
      </w:r>
      <w:bookmarkEnd w:id="712"/>
      <w:r>
        <w:rPr>
          <w:rFonts w:hint="eastAsia" w:ascii="宋体" w:hAnsi="宋体" w:eastAsia="宋体" w:cs="宋体"/>
        </w:rPr>
        <w:t>调解</w:t>
      </w:r>
      <w:bookmarkEnd w:id="713"/>
      <w:bookmarkEnd w:id="714"/>
      <w:bookmarkEnd w:id="715"/>
      <w:r>
        <w:rPr>
          <w:rFonts w:hint="eastAsia" w:ascii="宋体" w:hAnsi="宋体" w:eastAsia="宋体" w:cs="宋体"/>
        </w:rPr>
        <w:br w:type="textWrapping"/>
      </w:r>
      <w:r>
        <w:rPr>
          <w:rFonts w:hint="eastAsia" w:ascii="宋体" w:hAnsi="宋体" w:eastAsia="宋体" w:cs="宋体"/>
        </w:rPr>
        <w:t>　　如果双方不能在14日内或双方商定的其他时间内解决本合同争议，可以将其提交给专用条件约定的或事后达成协议的调解人进行调解。</w:t>
      </w:r>
    </w:p>
    <w:p w14:paraId="0E07A02C">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16" w:name="38"/>
      <w:bookmarkStart w:id="717" w:name="_Toc26973"/>
      <w:bookmarkStart w:id="718" w:name="_Toc419045094"/>
      <w:bookmarkStart w:id="719" w:name="_Toc50456170"/>
      <w:r>
        <w:rPr>
          <w:rFonts w:hint="eastAsia" w:ascii="宋体" w:hAnsi="宋体" w:eastAsia="宋体" w:cs="宋体"/>
        </w:rPr>
        <w:t>7.</w:t>
      </w:r>
      <w:bookmarkEnd w:id="716"/>
      <w:r>
        <w:rPr>
          <w:rFonts w:hint="eastAsia" w:ascii="宋体" w:hAnsi="宋体" w:eastAsia="宋体" w:cs="宋体"/>
        </w:rPr>
        <w:t>3仲裁或诉讼</w:t>
      </w:r>
      <w:bookmarkEnd w:id="717"/>
      <w:bookmarkEnd w:id="718"/>
      <w:bookmarkEnd w:id="719"/>
      <w:r>
        <w:rPr>
          <w:rFonts w:hint="eastAsia" w:ascii="宋体" w:hAnsi="宋体" w:eastAsia="宋体" w:cs="宋体"/>
        </w:rPr>
        <w:br w:type="textWrapping"/>
      </w:r>
      <w:r>
        <w:rPr>
          <w:rFonts w:hint="eastAsia" w:ascii="宋体" w:hAnsi="宋体" w:eastAsia="宋体" w:cs="宋体"/>
        </w:rPr>
        <w:t>　　双方均有权不经调解直接向专用条件约定的仲裁机构申请仲裁或向有管辖权的人民法院提起诉讼。</w:t>
      </w:r>
    </w:p>
    <w:p w14:paraId="5598687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20" w:name="_Toc419045095"/>
      <w:bookmarkStart w:id="721" w:name="_Toc50456171"/>
      <w:bookmarkStart w:id="722" w:name="_Toc14418"/>
      <w:r>
        <w:rPr>
          <w:rFonts w:hint="eastAsia" w:ascii="宋体" w:hAnsi="宋体" w:eastAsia="宋体" w:cs="宋体"/>
        </w:rPr>
        <w:t>8.其他</w:t>
      </w:r>
      <w:bookmarkEnd w:id="720"/>
      <w:bookmarkEnd w:id="721"/>
    </w:p>
    <w:bookmarkEnd w:id="722"/>
    <w:p w14:paraId="52EC64B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23" w:name="39"/>
      <w:bookmarkStart w:id="724" w:name="_Toc419045096"/>
      <w:bookmarkStart w:id="725" w:name="_Toc50456172"/>
      <w:bookmarkStart w:id="726" w:name="_Toc1753"/>
      <w:r>
        <w:rPr>
          <w:rFonts w:hint="eastAsia" w:ascii="宋体" w:hAnsi="宋体" w:eastAsia="宋体" w:cs="宋体"/>
        </w:rPr>
        <w:t>8.1</w:t>
      </w:r>
      <w:bookmarkEnd w:id="723"/>
      <w:r>
        <w:rPr>
          <w:rFonts w:hint="eastAsia" w:ascii="宋体" w:hAnsi="宋体" w:eastAsia="宋体" w:cs="宋体"/>
        </w:rPr>
        <w:t>考察及相关费用</w:t>
      </w:r>
      <w:bookmarkEnd w:id="724"/>
      <w:bookmarkEnd w:id="725"/>
      <w:bookmarkEnd w:id="726"/>
    </w:p>
    <w:p w14:paraId="51E07EE5">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除专用条件另有约定外，咨询人经委托人同意进行考察发生的费用由委托人审核后另行支付。差旅费及相关费用的承担由双方在专用条件中约定。</w:t>
      </w:r>
    </w:p>
    <w:p w14:paraId="2C70FCCC">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27" w:name="_Toc50456173"/>
      <w:bookmarkStart w:id="728" w:name="_Toc6975"/>
      <w:r>
        <w:rPr>
          <w:rFonts w:hint="eastAsia" w:ascii="宋体" w:hAnsi="宋体" w:eastAsia="宋体" w:cs="宋体"/>
        </w:rPr>
        <w:t>8.2奖励</w:t>
      </w:r>
      <w:bookmarkEnd w:id="727"/>
      <w:bookmarkEnd w:id="728"/>
    </w:p>
    <w:p w14:paraId="059EDD47">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对于咨询人在服务过程中提出合理化建议，使委托人获得效益的，双方在专用条件中约定奖励金额的确定方法。奖励金额在合理化建议被采纳后，与最近一期的正常工作酬金同期支付。</w:t>
      </w:r>
    </w:p>
    <w:p w14:paraId="3A9BA4F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29" w:name="_Toc1930"/>
      <w:bookmarkStart w:id="730" w:name="_Toc50456174"/>
      <w:r>
        <w:rPr>
          <w:rFonts w:hint="eastAsia" w:ascii="宋体" w:hAnsi="宋体" w:eastAsia="宋体" w:cs="宋体"/>
        </w:rPr>
        <w:t>8.3保密</w:t>
      </w:r>
      <w:bookmarkEnd w:id="729"/>
      <w:bookmarkEnd w:id="730"/>
    </w:p>
    <w:p w14:paraId="00156098">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在本合同履行期间或专用条件约定的期限内，双方不得泄露对方申明的保密资料，亦不得泄露与实施工程有关的第三人所提供的保密资料。保密事项在专用条件中约定。</w:t>
      </w:r>
    </w:p>
    <w:p w14:paraId="4F276329">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　　</w:t>
      </w:r>
      <w:bookmarkStart w:id="731" w:name="_Toc419045097"/>
      <w:bookmarkStart w:id="732" w:name="_Toc50456175"/>
      <w:bookmarkStart w:id="733" w:name="_Toc2529"/>
      <w:r>
        <w:rPr>
          <w:rFonts w:hint="eastAsia" w:ascii="宋体" w:hAnsi="宋体" w:eastAsia="宋体" w:cs="宋体"/>
        </w:rPr>
        <w:t>8.4</w:t>
      </w:r>
      <w:bookmarkEnd w:id="731"/>
      <w:r>
        <w:rPr>
          <w:rFonts w:hint="eastAsia" w:ascii="宋体" w:hAnsi="宋体" w:eastAsia="宋体" w:cs="宋体"/>
        </w:rPr>
        <w:t>联络</w:t>
      </w:r>
      <w:bookmarkEnd w:id="732"/>
      <w:bookmarkEnd w:id="733"/>
    </w:p>
    <w:p w14:paraId="351401B9">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8.4.1与合同有关的通知、指示、要求、决定等，均应采用书面形式，并应在专用条件约定的期限内送达接收人和送达地点。</w:t>
      </w:r>
    </w:p>
    <w:p w14:paraId="5B92F7EA">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8.4.2委托人和咨询人应在专用条件中约定各自的送达接收人、送达地点、电子邮箱。任何一方指定的接收人或送达地点或电子邮箱发生变动的，应提前3天以书面形式通知对方，否则视为未发生变动。</w:t>
      </w:r>
    </w:p>
    <w:p w14:paraId="303DA074">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8.4.3委托人和咨询人应当及时签收另一方送达至送达地点和指定接收人的往来函件，如确有充分证据证明一方无正当理由拒不签收的，视为认可往来函件的内容。</w:t>
      </w:r>
    </w:p>
    <w:p w14:paraId="474150D1">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bookmarkStart w:id="734" w:name="_Toc8738"/>
      <w:bookmarkStart w:id="735" w:name="_Toc50456176"/>
      <w:r>
        <w:rPr>
          <w:rFonts w:hint="eastAsia" w:ascii="宋体" w:hAnsi="宋体" w:eastAsia="宋体" w:cs="宋体"/>
        </w:rPr>
        <w:t>8.5知识产权</w:t>
      </w:r>
      <w:bookmarkEnd w:id="734"/>
      <w:bookmarkEnd w:id="735"/>
    </w:p>
    <w:p w14:paraId="2FC6312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除专用条件另有约定外，委托人提供给咨询人的图纸、委托人为实施工程自行编制或委托编制的技术规范以及反映委托人要求的或其他类似性质文件的著作权属于委托人，咨询人可以为实现本合同目的而复制或者以其他方式使用此类文件，但不能用于与本合同无关的其他事项。未经委托人书面同意，咨询人不得为了本合同以外的目的而复制或者以其他方式使用上述文件或将之提供给任何第三方。</w:t>
      </w:r>
    </w:p>
    <w:p w14:paraId="6157723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除专用条件另有约定外，咨询人为履行本合同约定而编制的成果文件，其著作权属于咨询人。委托人可以为实现合同目的而复制、使用此类文件，但不能擅自修改或用于与本合同无关的其他事项。未经咨询人书面同意，委托人不得为了本合同以外的目的而复制或者以其他方式使用上述文件或将之提供给任何第三方。</w:t>
      </w:r>
    </w:p>
    <w:p w14:paraId="72C6714A">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ascii="宋体" w:hAnsi="宋体" w:eastAsia="宋体" w:cs="宋体"/>
        </w:rPr>
      </w:pPr>
      <w:r>
        <w:rPr>
          <w:rFonts w:hint="eastAsia" w:ascii="宋体" w:hAnsi="宋体" w:eastAsia="宋体" w:cs="宋体"/>
        </w:rPr>
        <w:t>双方保证在履行本合同过程中不侵犯对方及第三方的知识产权。因咨询人侵犯他人知识产权所引起的责任，由咨询人承担；因委托人提供的基础资料导致侵权的，由委托人承担责任。</w:t>
      </w:r>
    </w:p>
    <w:p w14:paraId="41F509A3">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ascii="宋体" w:hAnsi="宋体" w:eastAsia="宋体" w:cs="宋体"/>
        </w:rPr>
        <w:t>除专用条件另有约定外，双方均有权在履行本合同保密义务并且不损害对方利益的情况下，将履行本合同形成的有关成果文件用于企业宣传、申报奖项以及接受上级主管部门的检查。</w:t>
      </w:r>
      <w:bookmarkStart w:id="736" w:name="_Toc419045098"/>
      <w:bookmarkStart w:id="737" w:name="_Toc50456177"/>
    </w:p>
    <w:p w14:paraId="16879E9A">
      <w:pPr>
        <w:spacing w:line="360" w:lineRule="auto"/>
        <w:rPr>
          <w:sz w:val="30"/>
          <w:szCs w:val="30"/>
        </w:rPr>
        <w:sectPr>
          <w:pgSz w:w="11906" w:h="16838"/>
          <w:pgMar w:top="1440" w:right="1800" w:bottom="1440" w:left="1800" w:header="851" w:footer="992" w:gutter="0"/>
          <w:pgNumType w:fmt="decimal"/>
          <w:cols w:space="0" w:num="1"/>
          <w:titlePg/>
          <w:docGrid w:linePitch="312" w:charSpace="0"/>
        </w:sectPr>
      </w:pPr>
    </w:p>
    <w:p w14:paraId="777E38B6">
      <w:pPr>
        <w:widowControl/>
        <w:spacing w:before="0" w:after="0" w:line="360" w:lineRule="auto"/>
        <w:jc w:val="center"/>
        <w:outlineLvl w:val="9"/>
        <w:rPr>
          <w:sz w:val="30"/>
          <w:szCs w:val="30"/>
        </w:rPr>
      </w:pPr>
      <w:bookmarkStart w:id="738" w:name="_Toc23740"/>
      <w:r>
        <w:rPr>
          <w:sz w:val="30"/>
          <w:szCs w:val="30"/>
        </w:rPr>
        <w:t>第三部分</w:t>
      </w:r>
      <w:r>
        <w:rPr>
          <w:rFonts w:hint="eastAsia"/>
          <w:sz w:val="30"/>
          <w:szCs w:val="30"/>
        </w:rPr>
        <w:t xml:space="preserve"> </w:t>
      </w:r>
      <w:r>
        <w:rPr>
          <w:sz w:val="30"/>
          <w:szCs w:val="30"/>
        </w:rPr>
        <w:t>专用条件</w:t>
      </w:r>
      <w:bookmarkEnd w:id="736"/>
      <w:bookmarkEnd w:id="737"/>
      <w:bookmarkEnd w:id="738"/>
      <w:bookmarkStart w:id="739" w:name="45"/>
    </w:p>
    <w:bookmarkEnd w:id="739"/>
    <w:p w14:paraId="4052963A">
      <w:pPr>
        <w:pStyle w:val="24"/>
        <w:spacing w:before="0" w:after="0" w:line="360" w:lineRule="auto"/>
        <w:ind w:firstLine="482" w:firstLineChars="200"/>
        <w:jc w:val="left"/>
        <w:outlineLvl w:val="9"/>
        <w:rPr>
          <w:rFonts w:ascii="Times New Roman" w:hAnsi="Times New Roman"/>
          <w:szCs w:val="24"/>
        </w:rPr>
      </w:pPr>
      <w:bookmarkStart w:id="740" w:name="_Toc50456178"/>
      <w:bookmarkStart w:id="741" w:name="_Toc419045099"/>
      <w:bookmarkStart w:id="742" w:name="_Toc16203"/>
      <w:r>
        <w:rPr>
          <w:rFonts w:ascii="Times New Roman" w:hAnsi="Times New Roman"/>
          <w:szCs w:val="24"/>
        </w:rPr>
        <w:t>1.词语定义、语言、解释顺序与适用法律</w:t>
      </w:r>
      <w:bookmarkEnd w:id="740"/>
      <w:bookmarkEnd w:id="741"/>
      <w:bookmarkEnd w:id="742"/>
    </w:p>
    <w:p w14:paraId="3B5A0F81">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43" w:name="_Toc419045101"/>
      <w:bookmarkStart w:id="744" w:name="_Toc50456179"/>
      <w:bookmarkStart w:id="745" w:name="_Toc19260"/>
      <w:r>
        <w:t>1.2语言</w:t>
      </w:r>
      <w:bookmarkEnd w:id="743"/>
      <w:bookmarkEnd w:id="744"/>
      <w:bookmarkEnd w:id="745"/>
      <w:r>
        <w:br w:type="textWrapping"/>
      </w:r>
      <w:r>
        <w:t>本合同文件除使用中文外，还可用   /     。</w:t>
      </w:r>
    </w:p>
    <w:p w14:paraId="091198F0">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46" w:name="_Toc3196"/>
      <w:bookmarkStart w:id="747" w:name="_Toc50456180"/>
      <w:r>
        <w:t>1.3合同文件的优先顺序：</w:t>
      </w:r>
      <w:bookmarkEnd w:id="746"/>
      <w:bookmarkEnd w:id="747"/>
    </w:p>
    <w:p w14:paraId="0324F733">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本合同文件的解释顺序为：</w:t>
      </w:r>
    </w:p>
    <w:p w14:paraId="3C2C01FF">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1.协议书</w:t>
      </w:r>
    </w:p>
    <w:p w14:paraId="7F555C64">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2.成交通知书</w:t>
      </w:r>
    </w:p>
    <w:p w14:paraId="08C6677C">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3.竞争性磋商文件</w:t>
      </w:r>
    </w:p>
    <w:p w14:paraId="3E7CBCF7">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4.响应文件</w:t>
      </w:r>
    </w:p>
    <w:p w14:paraId="526A1D0E">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5.专用条件；</w:t>
      </w:r>
    </w:p>
    <w:p w14:paraId="4BE98D4F">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6.通用条件；</w:t>
      </w:r>
    </w:p>
    <w:p w14:paraId="59DEE6C4">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7.其他合同相关文件。</w:t>
      </w:r>
    </w:p>
    <w:p w14:paraId="5747C997">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48" w:name="_Toc419045102"/>
      <w:bookmarkStart w:id="749" w:name="_Toc50456181"/>
      <w:bookmarkStart w:id="750" w:name="_Toc22964"/>
      <w:r>
        <w:t>1.4适用法律</w:t>
      </w:r>
      <w:bookmarkEnd w:id="748"/>
      <w:bookmarkEnd w:id="749"/>
    </w:p>
    <w:bookmarkEnd w:id="750"/>
    <w:p w14:paraId="780D7E45">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本合同适用的其他规范性文件包括: 国家或行业有关规定、标准、规范、定额 。</w:t>
      </w:r>
    </w:p>
    <w:p w14:paraId="38B203CB">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b/>
          <w:bCs/>
        </w:rPr>
      </w:pPr>
      <w:bookmarkStart w:id="751" w:name="_Toc419045103"/>
      <w:bookmarkStart w:id="752" w:name="_Toc16017"/>
      <w:bookmarkStart w:id="753" w:name="_Toc50456182"/>
      <w:r>
        <w:rPr>
          <w:b/>
          <w:bCs/>
        </w:rPr>
        <w:t>2.委托人的义务</w:t>
      </w:r>
      <w:bookmarkEnd w:id="751"/>
      <w:bookmarkEnd w:id="752"/>
      <w:bookmarkEnd w:id="753"/>
    </w:p>
    <w:p w14:paraId="20485DC9">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54" w:name="_Toc419045104"/>
      <w:bookmarkStart w:id="755" w:name="_Toc50456183"/>
      <w:bookmarkStart w:id="756" w:name="_Toc27678"/>
      <w:r>
        <w:t>2.1提供资料</w:t>
      </w:r>
      <w:bookmarkEnd w:id="754"/>
      <w:bookmarkEnd w:id="755"/>
    </w:p>
    <w:bookmarkEnd w:id="756"/>
    <w:p w14:paraId="1342B619">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委托人按照附录C约定无偿向咨询人提供与本合同咨询业务有关资料的时间为：    /       。</w:t>
      </w:r>
    </w:p>
    <w:p w14:paraId="01509AE7">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57" w:name="_Toc50456184"/>
      <w:bookmarkStart w:id="758" w:name="_Toc419045105"/>
      <w:bookmarkStart w:id="759" w:name="_Toc18944"/>
      <w:r>
        <w:t>2.2提供工作条件</w:t>
      </w:r>
      <w:bookmarkEnd w:id="757"/>
      <w:bookmarkEnd w:id="758"/>
    </w:p>
    <w:bookmarkEnd w:id="759"/>
    <w:p w14:paraId="0C533DC7">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2.2.1项目咨询人员使用附录D中由委托人提供的房屋及设备，支付使用费的标准为：   /       。</w:t>
      </w:r>
    </w:p>
    <w:p w14:paraId="7075B510">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60" w:name="_Toc419045106"/>
      <w:bookmarkStart w:id="761" w:name="_Toc19434"/>
      <w:bookmarkStart w:id="762" w:name="_Toc50456185"/>
      <w:r>
        <w:t>2.4委托人代表</w:t>
      </w:r>
      <w:bookmarkEnd w:id="760"/>
      <w:bookmarkEnd w:id="761"/>
      <w:bookmarkEnd w:id="762"/>
      <w:r>
        <w:br w:type="textWrapping"/>
      </w:r>
      <w:r>
        <w:t xml:space="preserve">    委托人代表为： </w:t>
      </w:r>
      <w:r>
        <w:rPr>
          <w:rFonts w:hint="eastAsia"/>
          <w:lang w:val="en-US" w:eastAsia="zh-CN"/>
        </w:rPr>
        <w:t xml:space="preserve">   </w:t>
      </w:r>
      <w:r>
        <w:t xml:space="preserve">  ，其权限范围： 负责本合同的履行，对咨询人出具的成果文件进行抽查、评价；对咨询人提供的服务进行监管、考核。</w:t>
      </w:r>
    </w:p>
    <w:p w14:paraId="6EB00DE0">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63" w:name="_Toc50456186"/>
      <w:bookmarkStart w:id="764" w:name="_Toc17895"/>
      <w:r>
        <w:t>2.5答复</w:t>
      </w:r>
      <w:bookmarkEnd w:id="763"/>
      <w:bookmarkEnd w:id="764"/>
    </w:p>
    <w:p w14:paraId="7311318C">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 xml:space="preserve">    委托人同意在  </w:t>
      </w:r>
      <w:r>
        <w:rPr>
          <w:rFonts w:hint="eastAsia"/>
        </w:rPr>
        <w:t>三</w:t>
      </w:r>
      <w:r>
        <w:t xml:space="preserve">  日内，对咨询人书面提交并要求做出决定的事宜给予书面答复。逾期未答复的，视为委托人认可。</w:t>
      </w:r>
    </w:p>
    <w:p w14:paraId="75A6CCB4">
      <w:pPr>
        <w:pStyle w:val="24"/>
        <w:spacing w:before="0" w:after="0" w:line="360" w:lineRule="auto"/>
        <w:ind w:firstLine="482" w:firstLineChars="200"/>
        <w:jc w:val="left"/>
        <w:outlineLvl w:val="9"/>
        <w:rPr>
          <w:rFonts w:ascii="Times New Roman" w:hAnsi="Times New Roman"/>
          <w:szCs w:val="24"/>
        </w:rPr>
      </w:pPr>
      <w:bookmarkStart w:id="765" w:name="_Toc50456187"/>
      <w:bookmarkStart w:id="766" w:name="_Toc419045107"/>
      <w:bookmarkStart w:id="767" w:name="_Toc8562"/>
      <w:r>
        <w:rPr>
          <w:rFonts w:ascii="Times New Roman" w:hAnsi="Times New Roman"/>
          <w:szCs w:val="24"/>
        </w:rPr>
        <w:t>3.咨询人的义务</w:t>
      </w:r>
      <w:bookmarkEnd w:id="765"/>
      <w:bookmarkEnd w:id="766"/>
      <w:bookmarkEnd w:id="767"/>
    </w:p>
    <w:p w14:paraId="1B08178B">
      <w:pPr>
        <w:pStyle w:val="20"/>
        <w:spacing w:before="0"/>
        <w:ind w:firstLine="480" w:firstLineChars="200"/>
        <w:jc w:val="left"/>
        <w:outlineLvl w:val="9"/>
        <w:rPr>
          <w:rFonts w:ascii="Times New Roman" w:hAnsi="Times New Roman"/>
          <w:b w:val="0"/>
          <w:sz w:val="24"/>
          <w:szCs w:val="24"/>
        </w:rPr>
      </w:pPr>
      <w:bookmarkStart w:id="768" w:name="_Toc6207"/>
      <w:bookmarkStart w:id="769" w:name="_Toc419045109"/>
      <w:bookmarkStart w:id="770" w:name="_Toc50456188"/>
      <w:r>
        <w:rPr>
          <w:rFonts w:ascii="Times New Roman" w:hAnsi="Times New Roman"/>
          <w:b w:val="0"/>
          <w:sz w:val="24"/>
          <w:szCs w:val="24"/>
        </w:rPr>
        <w:t>3.1项目咨询团队及人员</w:t>
      </w:r>
      <w:bookmarkEnd w:id="768"/>
      <w:bookmarkEnd w:id="769"/>
      <w:bookmarkEnd w:id="770"/>
    </w:p>
    <w:p w14:paraId="207BF69B">
      <w:pPr>
        <w:spacing w:line="360" w:lineRule="auto"/>
        <w:ind w:firstLine="480" w:firstLineChars="200"/>
        <w:rPr>
          <w:sz w:val="24"/>
        </w:rPr>
      </w:pPr>
      <w:r>
        <w:rPr>
          <w:sz w:val="24"/>
        </w:rPr>
        <w:t>3.1.1项目咨询团队的主要人员应具有</w:t>
      </w:r>
      <w:r>
        <w:rPr>
          <w:sz w:val="24"/>
          <w:u w:val="single"/>
        </w:rPr>
        <w:t xml:space="preserve"> 国家规定的执业 </w:t>
      </w:r>
      <w:r>
        <w:rPr>
          <w:sz w:val="24"/>
        </w:rPr>
        <w:t>资格条件，团队人员的数量及资格条件</w:t>
      </w:r>
      <w:r>
        <w:rPr>
          <w:sz w:val="24"/>
          <w:u w:val="single"/>
          <w:lang w:bidi="en-US"/>
        </w:rPr>
        <w:t>以咨询人响应文件为准</w:t>
      </w:r>
      <w:r>
        <w:rPr>
          <w:sz w:val="24"/>
        </w:rPr>
        <w:t>。</w:t>
      </w:r>
    </w:p>
    <w:p w14:paraId="4EB05A3F">
      <w:pPr>
        <w:spacing w:line="360" w:lineRule="auto"/>
        <w:ind w:firstLine="480" w:firstLineChars="200"/>
        <w:rPr>
          <w:sz w:val="24"/>
        </w:rPr>
      </w:pPr>
      <w:r>
        <w:rPr>
          <w:sz w:val="24"/>
        </w:rPr>
        <w:t>3.1.2项目负责人为：</w:t>
      </w:r>
      <w:r>
        <w:rPr>
          <w:sz w:val="24"/>
          <w:u w:val="single"/>
        </w:rPr>
        <w:t xml:space="preserve">  </w:t>
      </w:r>
      <w:r>
        <w:rPr>
          <w:rFonts w:hint="eastAsia" w:hAnsi="宋体"/>
          <w:sz w:val="24"/>
          <w:u w:val="single"/>
          <w:lang w:val="en-US" w:eastAsia="zh-CN"/>
        </w:rPr>
        <w:t xml:space="preserve">  </w:t>
      </w:r>
      <w:r>
        <w:rPr>
          <w:sz w:val="24"/>
          <w:u w:val="single"/>
        </w:rPr>
        <w:t xml:space="preserve">   </w:t>
      </w:r>
      <w:r>
        <w:rPr>
          <w:sz w:val="24"/>
        </w:rPr>
        <w:t>，项目负责人为履行本合同的权限为：</w:t>
      </w:r>
      <w:r>
        <w:rPr>
          <w:sz w:val="24"/>
          <w:u w:val="single"/>
        </w:rPr>
        <w:t>代表咨询人履行合同所有内容及义务</w:t>
      </w:r>
      <w:r>
        <w:rPr>
          <w:sz w:val="24"/>
        </w:rPr>
        <w:t>。</w:t>
      </w:r>
    </w:p>
    <w:p w14:paraId="5E82F6BB">
      <w:pPr>
        <w:pStyle w:val="78"/>
        <w:spacing w:line="360" w:lineRule="auto"/>
        <w:ind w:firstLine="480" w:firstLineChars="200"/>
        <w:jc w:val="left"/>
        <w:rPr>
          <w:sz w:val="24"/>
          <w:szCs w:val="24"/>
        </w:rPr>
      </w:pPr>
      <w:r>
        <w:rPr>
          <w:sz w:val="24"/>
          <w:szCs w:val="24"/>
        </w:rPr>
        <w:t>3.1.3咨询人更换项目咨询团队其他咨询人员的约定：</w:t>
      </w:r>
      <w:r>
        <w:rPr>
          <w:sz w:val="24"/>
          <w:szCs w:val="24"/>
          <w:u w:val="single"/>
        </w:rPr>
        <w:t xml:space="preserve"> 需报经委托人批准 </w:t>
      </w:r>
      <w:r>
        <w:rPr>
          <w:sz w:val="24"/>
          <w:szCs w:val="24"/>
        </w:rPr>
        <w:t>。</w:t>
      </w:r>
    </w:p>
    <w:p w14:paraId="61404796">
      <w:pPr>
        <w:spacing w:line="360" w:lineRule="auto"/>
        <w:ind w:firstLine="480" w:firstLineChars="200"/>
        <w:rPr>
          <w:sz w:val="24"/>
        </w:rPr>
      </w:pPr>
      <w:r>
        <w:rPr>
          <w:sz w:val="24"/>
        </w:rPr>
        <w:t>3.1.4委托人要求更换咨询人员的情形还包括：</w:t>
      </w:r>
      <w:r>
        <w:rPr>
          <w:sz w:val="24"/>
          <w:u w:val="single"/>
        </w:rPr>
        <w:t>当委托人认定咨询专业人员不按咨询合同履行其职责，或与第三人串通给委托人造成经济损失的，委托人有权要求更换咨询专业人员，直至终止合同，并要求咨询人承担相应的赔偿责任</w:t>
      </w:r>
      <w:r>
        <w:rPr>
          <w:sz w:val="24"/>
        </w:rPr>
        <w:t>。</w:t>
      </w:r>
    </w:p>
    <w:p w14:paraId="7A0735A8">
      <w:pPr>
        <w:pStyle w:val="20"/>
        <w:spacing w:before="60"/>
        <w:ind w:firstLine="480" w:firstLineChars="200"/>
        <w:jc w:val="left"/>
        <w:outlineLvl w:val="9"/>
        <w:rPr>
          <w:rFonts w:ascii="Times New Roman" w:hAnsi="Times New Roman"/>
          <w:b w:val="0"/>
          <w:sz w:val="24"/>
          <w:szCs w:val="24"/>
        </w:rPr>
      </w:pPr>
      <w:bookmarkStart w:id="771" w:name="_Toc9663"/>
      <w:bookmarkStart w:id="772" w:name="_Toc419045110"/>
      <w:bookmarkStart w:id="773" w:name="_Toc50456189"/>
      <w:r>
        <w:rPr>
          <w:rFonts w:ascii="Times New Roman" w:hAnsi="Times New Roman"/>
          <w:b w:val="0"/>
          <w:sz w:val="24"/>
          <w:szCs w:val="24"/>
        </w:rPr>
        <w:t>3.2咨询人的工作要求</w:t>
      </w:r>
      <w:bookmarkEnd w:id="771"/>
      <w:bookmarkEnd w:id="772"/>
      <w:bookmarkEnd w:id="773"/>
    </w:p>
    <w:p w14:paraId="01A26B04">
      <w:pPr>
        <w:spacing w:line="360" w:lineRule="auto"/>
        <w:ind w:firstLine="480" w:firstLineChars="200"/>
        <w:rPr>
          <w:sz w:val="24"/>
        </w:rPr>
      </w:pPr>
      <w:r>
        <w:rPr>
          <w:sz w:val="24"/>
        </w:rPr>
        <w:t>3.2.1咨询人向委托人提供有关资料的时间：</w:t>
      </w:r>
      <w:r>
        <w:rPr>
          <w:sz w:val="24"/>
          <w:u w:val="single"/>
        </w:rPr>
        <w:t>按照学校相关要求</w:t>
      </w:r>
      <w:r>
        <w:rPr>
          <w:sz w:val="24"/>
        </w:rPr>
        <w:t>。</w:t>
      </w:r>
    </w:p>
    <w:p w14:paraId="4EF02B07">
      <w:pPr>
        <w:spacing w:line="360" w:lineRule="auto"/>
        <w:ind w:firstLine="480" w:firstLineChars="200"/>
        <w:rPr>
          <w:sz w:val="24"/>
        </w:rPr>
      </w:pPr>
      <w:r>
        <w:rPr>
          <w:sz w:val="24"/>
        </w:rPr>
        <w:t>咨询人向委托人提供的资料还包括：</w:t>
      </w:r>
      <w:r>
        <w:rPr>
          <w:sz w:val="24"/>
          <w:u w:val="single"/>
        </w:rPr>
        <w:t xml:space="preserve"> 委托人要求的所有资料 </w:t>
      </w:r>
      <w:r>
        <w:rPr>
          <w:sz w:val="24"/>
        </w:rPr>
        <w:t>。</w:t>
      </w:r>
    </w:p>
    <w:p w14:paraId="6EAF9CAF">
      <w:pPr>
        <w:spacing w:line="360" w:lineRule="auto"/>
        <w:ind w:firstLine="480" w:firstLineChars="200"/>
        <w:rPr>
          <w:sz w:val="24"/>
        </w:rPr>
      </w:pPr>
      <w:r>
        <w:rPr>
          <w:sz w:val="24"/>
        </w:rPr>
        <w:t>3.2.2咨询人向委托人提供咨询成果文件的名称、组成、时间、份数及质量标准：</w:t>
      </w:r>
      <w:r>
        <w:rPr>
          <w:sz w:val="24"/>
          <w:u w:val="single"/>
        </w:rPr>
        <w:t xml:space="preserve">  满足本合同要求 </w:t>
      </w:r>
      <w:r>
        <w:rPr>
          <w:sz w:val="24"/>
        </w:rPr>
        <w:t>。</w:t>
      </w:r>
    </w:p>
    <w:tbl>
      <w:tblPr>
        <w:tblStyle w:val="2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3317"/>
        <w:gridCol w:w="2184"/>
        <w:gridCol w:w="736"/>
        <w:gridCol w:w="1415"/>
      </w:tblGrid>
      <w:tr w14:paraId="53D5CA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7" w:hRule="atLeast"/>
        </w:trPr>
        <w:tc>
          <w:tcPr>
            <w:tcW w:w="709" w:type="dxa"/>
            <w:vAlign w:val="center"/>
          </w:tcPr>
          <w:p w14:paraId="621AD584">
            <w:pPr>
              <w:spacing w:line="360" w:lineRule="auto"/>
              <w:jc w:val="center"/>
              <w:rPr>
                <w:rFonts w:hint="eastAsia" w:ascii="宋体" w:hAnsi="宋体" w:eastAsia="宋体" w:cs="宋体"/>
                <w:b/>
                <w:color w:val="FF0000"/>
                <w:sz w:val="24"/>
                <w:szCs w:val="24"/>
                <w:lang w:bidi="en-US"/>
              </w:rPr>
            </w:pPr>
            <w:r>
              <w:rPr>
                <w:rFonts w:hint="eastAsia" w:ascii="宋体" w:hAnsi="宋体" w:eastAsia="宋体" w:cs="宋体"/>
                <w:b/>
                <w:color w:val="FF0000"/>
                <w:sz w:val="24"/>
                <w:szCs w:val="24"/>
                <w:lang w:bidi="en-US"/>
              </w:rPr>
              <w:t>序号</w:t>
            </w:r>
          </w:p>
        </w:tc>
        <w:tc>
          <w:tcPr>
            <w:tcW w:w="3317" w:type="dxa"/>
            <w:vAlign w:val="center"/>
          </w:tcPr>
          <w:p w14:paraId="3A7E112E">
            <w:pPr>
              <w:spacing w:line="360" w:lineRule="auto"/>
              <w:jc w:val="center"/>
              <w:rPr>
                <w:rFonts w:hint="eastAsia" w:ascii="宋体" w:hAnsi="宋体" w:eastAsia="宋体" w:cs="宋体"/>
                <w:b/>
                <w:color w:val="FF0000"/>
                <w:sz w:val="24"/>
                <w:szCs w:val="24"/>
                <w:lang w:bidi="en-US"/>
              </w:rPr>
            </w:pPr>
            <w:r>
              <w:rPr>
                <w:rFonts w:hint="eastAsia" w:ascii="宋体" w:hAnsi="宋体" w:eastAsia="宋体" w:cs="宋体"/>
                <w:b/>
                <w:color w:val="FF0000"/>
                <w:sz w:val="24"/>
                <w:szCs w:val="24"/>
                <w:lang w:bidi="en-US"/>
              </w:rPr>
              <w:t>成果文件名称及组成</w:t>
            </w:r>
          </w:p>
        </w:tc>
        <w:tc>
          <w:tcPr>
            <w:tcW w:w="2184" w:type="dxa"/>
            <w:vAlign w:val="center"/>
          </w:tcPr>
          <w:p w14:paraId="1165DE97">
            <w:pPr>
              <w:spacing w:line="360" w:lineRule="auto"/>
              <w:jc w:val="center"/>
              <w:rPr>
                <w:rFonts w:hint="eastAsia" w:ascii="宋体" w:hAnsi="宋体" w:eastAsia="宋体" w:cs="宋体"/>
                <w:b/>
                <w:color w:val="FF0000"/>
                <w:sz w:val="24"/>
                <w:szCs w:val="24"/>
                <w:lang w:bidi="en-US"/>
              </w:rPr>
            </w:pPr>
            <w:r>
              <w:rPr>
                <w:rFonts w:hint="eastAsia" w:ascii="宋体" w:hAnsi="宋体" w:eastAsia="宋体" w:cs="宋体"/>
                <w:b/>
                <w:color w:val="FF0000"/>
                <w:sz w:val="24"/>
                <w:szCs w:val="24"/>
                <w:lang w:bidi="en-US"/>
              </w:rPr>
              <w:t>提交时间</w:t>
            </w:r>
          </w:p>
        </w:tc>
        <w:tc>
          <w:tcPr>
            <w:tcW w:w="736" w:type="dxa"/>
            <w:vAlign w:val="center"/>
          </w:tcPr>
          <w:p w14:paraId="0C190845">
            <w:pPr>
              <w:spacing w:line="360" w:lineRule="auto"/>
              <w:jc w:val="center"/>
              <w:rPr>
                <w:rFonts w:hint="eastAsia" w:ascii="宋体" w:hAnsi="宋体" w:eastAsia="宋体" w:cs="宋体"/>
                <w:b/>
                <w:color w:val="FF0000"/>
                <w:sz w:val="24"/>
                <w:szCs w:val="24"/>
                <w:lang w:bidi="en-US"/>
              </w:rPr>
            </w:pPr>
            <w:r>
              <w:rPr>
                <w:rFonts w:hint="eastAsia" w:ascii="宋体" w:hAnsi="宋体" w:eastAsia="宋体" w:cs="宋体"/>
                <w:b/>
                <w:color w:val="FF0000"/>
                <w:sz w:val="24"/>
                <w:szCs w:val="24"/>
                <w:lang w:bidi="en-US"/>
              </w:rPr>
              <w:t>份数</w:t>
            </w:r>
          </w:p>
        </w:tc>
        <w:tc>
          <w:tcPr>
            <w:tcW w:w="1415" w:type="dxa"/>
            <w:vAlign w:val="center"/>
          </w:tcPr>
          <w:p w14:paraId="375F087F">
            <w:pPr>
              <w:spacing w:line="360" w:lineRule="auto"/>
              <w:jc w:val="center"/>
              <w:rPr>
                <w:rFonts w:hint="eastAsia" w:ascii="宋体" w:hAnsi="宋体" w:eastAsia="宋体" w:cs="宋体"/>
                <w:b/>
                <w:color w:val="FF0000"/>
                <w:sz w:val="24"/>
                <w:szCs w:val="24"/>
                <w:lang w:bidi="en-US"/>
              </w:rPr>
            </w:pPr>
            <w:r>
              <w:rPr>
                <w:rFonts w:hint="eastAsia" w:ascii="宋体" w:hAnsi="宋体" w:eastAsia="宋体" w:cs="宋体"/>
                <w:b/>
                <w:color w:val="FF0000"/>
                <w:sz w:val="24"/>
                <w:szCs w:val="24"/>
                <w:lang w:bidi="en-US"/>
              </w:rPr>
              <w:t>质量标准</w:t>
            </w:r>
          </w:p>
        </w:tc>
      </w:tr>
      <w:tr w14:paraId="2303E2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5" w:hRule="atLeast"/>
        </w:trPr>
        <w:tc>
          <w:tcPr>
            <w:tcW w:w="709" w:type="dxa"/>
            <w:vAlign w:val="center"/>
          </w:tcPr>
          <w:p w14:paraId="4BBDCCF9">
            <w:pPr>
              <w:spacing w:line="240" w:lineRule="exact"/>
              <w:jc w:val="center"/>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1</w:t>
            </w:r>
          </w:p>
        </w:tc>
        <w:tc>
          <w:tcPr>
            <w:tcW w:w="3317" w:type="dxa"/>
            <w:vAlign w:val="center"/>
          </w:tcPr>
          <w:p w14:paraId="4B6D5BBA">
            <w:pPr>
              <w:spacing w:line="240" w:lineRule="exact"/>
              <w:rPr>
                <w:rFonts w:hint="eastAsia" w:ascii="宋体" w:hAnsi="宋体" w:eastAsia="宋体" w:cs="宋体"/>
                <w:color w:val="FF0000"/>
                <w:sz w:val="24"/>
                <w:szCs w:val="24"/>
                <w:lang w:eastAsia="zh-CN" w:bidi="en-US"/>
              </w:rPr>
            </w:pPr>
            <w:r>
              <w:rPr>
                <w:rFonts w:hint="eastAsia" w:ascii="宋体" w:hAnsi="宋体" w:eastAsia="宋体" w:cs="宋体"/>
                <w:color w:val="FF0000"/>
                <w:sz w:val="24"/>
                <w:szCs w:val="24"/>
                <w:lang w:bidi="en-US"/>
              </w:rPr>
              <w:t>清标报告及其配套文件</w:t>
            </w:r>
            <w:r>
              <w:rPr>
                <w:rFonts w:hint="eastAsia" w:cs="宋体"/>
                <w:color w:val="FF0000"/>
                <w:sz w:val="24"/>
                <w:szCs w:val="24"/>
                <w:lang w:eastAsia="zh-CN" w:bidi="en-US"/>
              </w:rPr>
              <w:t>(</w:t>
            </w:r>
            <w:r>
              <w:rPr>
                <w:rFonts w:hint="eastAsia" w:ascii="宋体" w:hAnsi="宋体" w:eastAsia="宋体" w:cs="宋体"/>
                <w:color w:val="FF0000"/>
                <w:sz w:val="24"/>
                <w:szCs w:val="24"/>
                <w:lang w:bidi="en-US"/>
              </w:rPr>
              <w:t>报告具体名称以委托人要求为准</w:t>
            </w:r>
            <w:r>
              <w:rPr>
                <w:rFonts w:hint="eastAsia" w:cs="宋体"/>
                <w:color w:val="FF0000"/>
                <w:sz w:val="24"/>
                <w:szCs w:val="24"/>
                <w:lang w:eastAsia="zh-CN" w:bidi="en-US"/>
              </w:rPr>
              <w:t>)</w:t>
            </w:r>
          </w:p>
        </w:tc>
        <w:tc>
          <w:tcPr>
            <w:tcW w:w="2184" w:type="dxa"/>
            <w:vAlign w:val="center"/>
          </w:tcPr>
          <w:p w14:paraId="3D64BE4B">
            <w:pPr>
              <w:spacing w:line="240" w:lineRule="exact"/>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从</w:t>
            </w:r>
            <w:r>
              <w:rPr>
                <w:rFonts w:hint="eastAsia" w:ascii="宋体" w:hAnsi="宋体" w:eastAsia="宋体" w:cs="宋体"/>
                <w:color w:val="FF0000"/>
                <w:sz w:val="24"/>
                <w:szCs w:val="24"/>
                <w:lang w:val="en-US" w:eastAsia="zh-CN" w:bidi="en-US"/>
              </w:rPr>
              <w:t>接收</w:t>
            </w:r>
            <w:r>
              <w:rPr>
                <w:rFonts w:hint="eastAsia" w:ascii="宋体" w:hAnsi="宋体" w:eastAsia="宋体" w:cs="宋体"/>
                <w:color w:val="FF0000"/>
                <w:sz w:val="24"/>
                <w:szCs w:val="24"/>
                <w:lang w:bidi="en-US"/>
              </w:rPr>
              <w:t>资料起</w:t>
            </w:r>
            <w:r>
              <w:rPr>
                <w:rFonts w:hint="eastAsia" w:ascii="宋体" w:hAnsi="宋体" w:eastAsia="宋体" w:cs="宋体"/>
                <w:color w:val="FF0000"/>
                <w:sz w:val="24"/>
                <w:szCs w:val="24"/>
                <w:lang w:val="en-US" w:eastAsia="zh-CN" w:bidi="en-US"/>
              </w:rPr>
              <w:t>7</w:t>
            </w:r>
            <w:r>
              <w:rPr>
                <w:rFonts w:hint="eastAsia" w:ascii="宋体" w:hAnsi="宋体" w:eastAsia="宋体" w:cs="宋体"/>
                <w:color w:val="FF0000"/>
                <w:sz w:val="24"/>
                <w:szCs w:val="24"/>
                <w:lang w:bidi="en-US"/>
              </w:rPr>
              <w:t>天内提交</w:t>
            </w:r>
          </w:p>
        </w:tc>
        <w:tc>
          <w:tcPr>
            <w:tcW w:w="736" w:type="dxa"/>
            <w:vAlign w:val="center"/>
          </w:tcPr>
          <w:p w14:paraId="5CE52746">
            <w:pPr>
              <w:spacing w:line="240" w:lineRule="exact"/>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2份</w:t>
            </w:r>
          </w:p>
        </w:tc>
        <w:tc>
          <w:tcPr>
            <w:tcW w:w="1415" w:type="dxa"/>
            <w:vAlign w:val="center"/>
          </w:tcPr>
          <w:p w14:paraId="5E209513">
            <w:pPr>
              <w:spacing w:line="240" w:lineRule="exact"/>
              <w:jc w:val="center"/>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符合合同约定</w:t>
            </w:r>
          </w:p>
        </w:tc>
      </w:tr>
      <w:tr w14:paraId="62AF93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23" w:hRule="atLeast"/>
        </w:trPr>
        <w:tc>
          <w:tcPr>
            <w:tcW w:w="709" w:type="dxa"/>
            <w:tcBorders>
              <w:top w:val="single" w:color="000000" w:sz="4" w:space="0"/>
              <w:left w:val="single" w:color="000000" w:sz="4" w:space="0"/>
              <w:bottom w:val="single" w:color="000000" w:sz="4" w:space="0"/>
              <w:right w:val="single" w:color="000000" w:sz="4" w:space="0"/>
            </w:tcBorders>
            <w:vAlign w:val="center"/>
          </w:tcPr>
          <w:p w14:paraId="670C989B">
            <w:pPr>
              <w:spacing w:line="240" w:lineRule="exact"/>
              <w:jc w:val="center"/>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2</w:t>
            </w:r>
          </w:p>
        </w:tc>
        <w:tc>
          <w:tcPr>
            <w:tcW w:w="3317" w:type="dxa"/>
            <w:tcBorders>
              <w:top w:val="single" w:color="000000" w:sz="4" w:space="0"/>
              <w:left w:val="single" w:color="000000" w:sz="4" w:space="0"/>
              <w:bottom w:val="single" w:color="000000" w:sz="4" w:space="0"/>
              <w:right w:val="single" w:color="000000" w:sz="4" w:space="0"/>
            </w:tcBorders>
            <w:vAlign w:val="center"/>
          </w:tcPr>
          <w:p w14:paraId="694751D7">
            <w:pPr>
              <w:spacing w:line="240" w:lineRule="exact"/>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工程项目基础部分完工后，出具《工程造价控制与工程管理评价报告》</w:t>
            </w:r>
          </w:p>
        </w:tc>
        <w:tc>
          <w:tcPr>
            <w:tcW w:w="2184" w:type="dxa"/>
            <w:tcBorders>
              <w:top w:val="single" w:color="000000" w:sz="4" w:space="0"/>
              <w:left w:val="single" w:color="000000" w:sz="4" w:space="0"/>
              <w:bottom w:val="single" w:color="000000" w:sz="4" w:space="0"/>
              <w:right w:val="single" w:color="000000" w:sz="4" w:space="0"/>
            </w:tcBorders>
            <w:vAlign w:val="center"/>
          </w:tcPr>
          <w:p w14:paraId="701B95A5">
            <w:pPr>
              <w:spacing w:line="240" w:lineRule="exact"/>
              <w:ind w:firstLine="0" w:firstLineChars="0"/>
              <w:rPr>
                <w:rFonts w:hint="default" w:ascii="宋体" w:hAnsi="宋体" w:eastAsia="宋体" w:cs="宋体"/>
                <w:color w:val="FF0000"/>
                <w:sz w:val="24"/>
                <w:szCs w:val="24"/>
                <w:lang w:val="en-US" w:eastAsia="zh-CN" w:bidi="en-US"/>
              </w:rPr>
            </w:pPr>
            <w:r>
              <w:rPr>
                <w:rFonts w:hint="eastAsia" w:ascii="宋体" w:hAnsi="宋体" w:eastAsia="宋体" w:cs="宋体"/>
                <w:color w:val="FF0000"/>
                <w:sz w:val="24"/>
                <w:szCs w:val="24"/>
                <w:lang w:bidi="en-US"/>
              </w:rPr>
              <w:t>根据工作进度另行要求</w:t>
            </w:r>
          </w:p>
        </w:tc>
        <w:tc>
          <w:tcPr>
            <w:tcW w:w="736" w:type="dxa"/>
            <w:tcBorders>
              <w:top w:val="single" w:color="000000" w:sz="4" w:space="0"/>
              <w:left w:val="single" w:color="000000" w:sz="4" w:space="0"/>
              <w:bottom w:val="single" w:color="000000" w:sz="4" w:space="0"/>
              <w:right w:val="single" w:color="000000" w:sz="4" w:space="0"/>
            </w:tcBorders>
            <w:vAlign w:val="center"/>
          </w:tcPr>
          <w:p w14:paraId="6D48D466">
            <w:pPr>
              <w:spacing w:line="240" w:lineRule="exact"/>
              <w:rPr>
                <w:rFonts w:hint="eastAsia" w:ascii="宋体" w:hAnsi="宋体" w:eastAsia="宋体" w:cs="宋体"/>
                <w:color w:val="FF0000"/>
                <w:sz w:val="24"/>
                <w:szCs w:val="24"/>
                <w:lang w:bidi="en-US"/>
              </w:rPr>
            </w:pPr>
            <w:r>
              <w:rPr>
                <w:rFonts w:hint="eastAsia" w:ascii="宋体" w:hAnsi="宋体" w:eastAsia="宋体" w:cs="宋体"/>
                <w:color w:val="FF0000"/>
                <w:sz w:val="24"/>
                <w:szCs w:val="24"/>
                <w:lang w:val="en-US" w:eastAsia="zh-CN" w:bidi="en-US"/>
              </w:rPr>
              <w:t>2</w:t>
            </w:r>
            <w:r>
              <w:rPr>
                <w:rFonts w:hint="eastAsia" w:ascii="宋体" w:hAnsi="宋体" w:eastAsia="宋体" w:cs="宋体"/>
                <w:color w:val="FF0000"/>
                <w:sz w:val="24"/>
                <w:szCs w:val="24"/>
                <w:lang w:bidi="en-US"/>
              </w:rPr>
              <w:t>份</w:t>
            </w:r>
          </w:p>
        </w:tc>
        <w:tc>
          <w:tcPr>
            <w:tcW w:w="1415" w:type="dxa"/>
            <w:tcBorders>
              <w:top w:val="single" w:color="000000" w:sz="4" w:space="0"/>
              <w:left w:val="single" w:color="000000" w:sz="4" w:space="0"/>
              <w:bottom w:val="single" w:color="000000" w:sz="4" w:space="0"/>
              <w:right w:val="single" w:color="000000" w:sz="4" w:space="0"/>
            </w:tcBorders>
            <w:vAlign w:val="center"/>
          </w:tcPr>
          <w:p w14:paraId="1E0937D4">
            <w:pPr>
              <w:spacing w:line="240" w:lineRule="exact"/>
              <w:jc w:val="center"/>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符合合同约定</w:t>
            </w:r>
          </w:p>
        </w:tc>
      </w:tr>
      <w:tr w14:paraId="021F51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7" w:hRule="atLeast"/>
        </w:trPr>
        <w:tc>
          <w:tcPr>
            <w:tcW w:w="709" w:type="dxa"/>
            <w:tcBorders>
              <w:top w:val="single" w:color="000000" w:sz="4" w:space="0"/>
              <w:left w:val="single" w:color="000000" w:sz="4" w:space="0"/>
              <w:bottom w:val="single" w:color="000000" w:sz="4" w:space="0"/>
              <w:right w:val="single" w:color="000000" w:sz="4" w:space="0"/>
            </w:tcBorders>
            <w:vAlign w:val="center"/>
          </w:tcPr>
          <w:p w14:paraId="04C282D7">
            <w:pPr>
              <w:spacing w:line="240" w:lineRule="exact"/>
              <w:jc w:val="center"/>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3</w:t>
            </w:r>
          </w:p>
        </w:tc>
        <w:tc>
          <w:tcPr>
            <w:tcW w:w="3317" w:type="dxa"/>
            <w:tcBorders>
              <w:top w:val="single" w:color="000000" w:sz="4" w:space="0"/>
              <w:left w:val="single" w:color="000000" w:sz="4" w:space="0"/>
              <w:bottom w:val="single" w:color="000000" w:sz="4" w:space="0"/>
              <w:right w:val="single" w:color="000000" w:sz="4" w:space="0"/>
            </w:tcBorders>
            <w:vAlign w:val="center"/>
          </w:tcPr>
          <w:p w14:paraId="35221DCA">
            <w:pPr>
              <w:spacing w:line="240" w:lineRule="exact"/>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工程项目主体部分完工后，并出具《工程造价控制与工程管理评价报告》</w:t>
            </w:r>
          </w:p>
        </w:tc>
        <w:tc>
          <w:tcPr>
            <w:tcW w:w="2184" w:type="dxa"/>
            <w:tcBorders>
              <w:top w:val="single" w:color="000000" w:sz="4" w:space="0"/>
              <w:left w:val="single" w:color="000000" w:sz="4" w:space="0"/>
              <w:bottom w:val="single" w:color="000000" w:sz="4" w:space="0"/>
              <w:right w:val="single" w:color="000000" w:sz="4" w:space="0"/>
            </w:tcBorders>
            <w:vAlign w:val="center"/>
          </w:tcPr>
          <w:p w14:paraId="78DDA43F">
            <w:pPr>
              <w:spacing w:line="240" w:lineRule="exact"/>
              <w:ind w:firstLine="0" w:firstLineChars="0"/>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根据工作进度另行要求</w:t>
            </w:r>
          </w:p>
        </w:tc>
        <w:tc>
          <w:tcPr>
            <w:tcW w:w="736" w:type="dxa"/>
            <w:tcBorders>
              <w:top w:val="single" w:color="000000" w:sz="4" w:space="0"/>
              <w:left w:val="single" w:color="000000" w:sz="4" w:space="0"/>
              <w:bottom w:val="single" w:color="000000" w:sz="4" w:space="0"/>
              <w:right w:val="single" w:color="000000" w:sz="4" w:space="0"/>
            </w:tcBorders>
            <w:vAlign w:val="center"/>
          </w:tcPr>
          <w:p w14:paraId="69F30B3B">
            <w:pPr>
              <w:spacing w:line="240" w:lineRule="exact"/>
              <w:ind w:firstLine="0" w:firstLineChars="0"/>
              <w:rPr>
                <w:rFonts w:hint="eastAsia" w:ascii="宋体" w:hAnsi="宋体" w:eastAsia="宋体" w:cs="宋体"/>
                <w:color w:val="FF0000"/>
                <w:sz w:val="24"/>
                <w:szCs w:val="24"/>
                <w:lang w:bidi="en-US"/>
              </w:rPr>
            </w:pPr>
            <w:r>
              <w:rPr>
                <w:rFonts w:hint="eastAsia" w:ascii="宋体" w:hAnsi="宋体" w:eastAsia="宋体" w:cs="宋体"/>
                <w:color w:val="FF0000"/>
                <w:sz w:val="24"/>
                <w:szCs w:val="24"/>
                <w:lang w:val="en-US" w:eastAsia="zh-CN" w:bidi="en-US"/>
              </w:rPr>
              <w:t>2</w:t>
            </w:r>
            <w:r>
              <w:rPr>
                <w:rFonts w:hint="eastAsia" w:ascii="宋体" w:hAnsi="宋体" w:eastAsia="宋体" w:cs="宋体"/>
                <w:color w:val="FF0000"/>
                <w:sz w:val="24"/>
                <w:szCs w:val="24"/>
                <w:lang w:bidi="en-US"/>
              </w:rPr>
              <w:t>份</w:t>
            </w:r>
          </w:p>
        </w:tc>
        <w:tc>
          <w:tcPr>
            <w:tcW w:w="1415" w:type="dxa"/>
            <w:tcBorders>
              <w:top w:val="single" w:color="000000" w:sz="4" w:space="0"/>
              <w:left w:val="single" w:color="000000" w:sz="4" w:space="0"/>
              <w:bottom w:val="single" w:color="000000" w:sz="4" w:space="0"/>
              <w:right w:val="single" w:color="000000" w:sz="4" w:space="0"/>
            </w:tcBorders>
            <w:vAlign w:val="center"/>
          </w:tcPr>
          <w:p w14:paraId="2C02CA80">
            <w:pPr>
              <w:spacing w:line="240" w:lineRule="exact"/>
              <w:ind w:firstLine="0" w:firstLineChars="0"/>
              <w:jc w:val="center"/>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符合合同约定</w:t>
            </w:r>
          </w:p>
        </w:tc>
      </w:tr>
      <w:tr w14:paraId="2C1E90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6" w:hRule="atLeast"/>
        </w:trPr>
        <w:tc>
          <w:tcPr>
            <w:tcW w:w="709" w:type="dxa"/>
            <w:tcBorders>
              <w:top w:val="single" w:color="000000" w:sz="4" w:space="0"/>
              <w:left w:val="single" w:color="000000" w:sz="4" w:space="0"/>
              <w:bottom w:val="single" w:color="000000" w:sz="4" w:space="0"/>
              <w:right w:val="single" w:color="000000" w:sz="4" w:space="0"/>
            </w:tcBorders>
            <w:vAlign w:val="center"/>
          </w:tcPr>
          <w:p w14:paraId="7BF83F85">
            <w:pPr>
              <w:spacing w:line="240" w:lineRule="exact"/>
              <w:jc w:val="center"/>
              <w:rPr>
                <w:rFonts w:hint="eastAsia" w:ascii="宋体" w:hAnsi="宋体" w:eastAsia="宋体" w:cs="宋体"/>
                <w:color w:val="FF0000"/>
                <w:sz w:val="24"/>
                <w:szCs w:val="24"/>
                <w:lang w:val="en-US" w:eastAsia="zh-CN" w:bidi="en-US"/>
              </w:rPr>
            </w:pPr>
            <w:r>
              <w:rPr>
                <w:rFonts w:hint="eastAsia" w:ascii="宋体" w:hAnsi="宋体" w:eastAsia="宋体" w:cs="宋体"/>
                <w:color w:val="FF0000"/>
                <w:sz w:val="24"/>
                <w:szCs w:val="24"/>
                <w:lang w:val="en-US" w:eastAsia="zh-CN" w:bidi="en-US"/>
              </w:rPr>
              <w:t>4</w:t>
            </w:r>
          </w:p>
        </w:tc>
        <w:tc>
          <w:tcPr>
            <w:tcW w:w="3317" w:type="dxa"/>
            <w:tcBorders>
              <w:top w:val="single" w:color="000000" w:sz="4" w:space="0"/>
              <w:left w:val="single" w:color="000000" w:sz="4" w:space="0"/>
              <w:bottom w:val="single" w:color="000000" w:sz="4" w:space="0"/>
              <w:right w:val="single" w:color="000000" w:sz="4" w:space="0"/>
            </w:tcBorders>
            <w:vAlign w:val="center"/>
          </w:tcPr>
          <w:p w14:paraId="346855C1">
            <w:pPr>
              <w:spacing w:line="240" w:lineRule="exact"/>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工程项目通过正式竣工验收后，并出具《工程造价控制与工程管理评价报告》</w:t>
            </w:r>
          </w:p>
        </w:tc>
        <w:tc>
          <w:tcPr>
            <w:tcW w:w="2184" w:type="dxa"/>
            <w:tcBorders>
              <w:top w:val="single" w:color="000000" w:sz="4" w:space="0"/>
              <w:left w:val="single" w:color="000000" w:sz="4" w:space="0"/>
              <w:bottom w:val="single" w:color="000000" w:sz="4" w:space="0"/>
              <w:right w:val="single" w:color="000000" w:sz="4" w:space="0"/>
            </w:tcBorders>
            <w:vAlign w:val="center"/>
          </w:tcPr>
          <w:p w14:paraId="3D622B6B">
            <w:pPr>
              <w:spacing w:line="240" w:lineRule="exact"/>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根据工作进度另行要求</w:t>
            </w:r>
          </w:p>
        </w:tc>
        <w:tc>
          <w:tcPr>
            <w:tcW w:w="736" w:type="dxa"/>
            <w:tcBorders>
              <w:top w:val="single" w:color="000000" w:sz="4" w:space="0"/>
              <w:left w:val="single" w:color="000000" w:sz="4" w:space="0"/>
              <w:bottom w:val="single" w:color="000000" w:sz="4" w:space="0"/>
              <w:right w:val="single" w:color="000000" w:sz="4" w:space="0"/>
            </w:tcBorders>
            <w:vAlign w:val="center"/>
          </w:tcPr>
          <w:p w14:paraId="431D76BB">
            <w:pPr>
              <w:spacing w:line="240" w:lineRule="exact"/>
              <w:ind w:firstLine="0" w:firstLineChars="0"/>
              <w:rPr>
                <w:rFonts w:hint="eastAsia" w:ascii="宋体" w:hAnsi="宋体" w:eastAsia="宋体" w:cs="宋体"/>
                <w:color w:val="FF0000"/>
                <w:sz w:val="24"/>
                <w:szCs w:val="24"/>
                <w:lang w:bidi="en-US"/>
              </w:rPr>
            </w:pPr>
            <w:r>
              <w:rPr>
                <w:rFonts w:hint="eastAsia" w:ascii="宋体" w:hAnsi="宋体" w:eastAsia="宋体" w:cs="宋体"/>
                <w:color w:val="FF0000"/>
                <w:sz w:val="24"/>
                <w:szCs w:val="24"/>
                <w:lang w:val="en-US" w:eastAsia="zh-CN" w:bidi="en-US"/>
              </w:rPr>
              <w:t>2</w:t>
            </w:r>
            <w:r>
              <w:rPr>
                <w:rFonts w:hint="eastAsia" w:ascii="宋体" w:hAnsi="宋体" w:eastAsia="宋体" w:cs="宋体"/>
                <w:color w:val="FF0000"/>
                <w:sz w:val="24"/>
                <w:szCs w:val="24"/>
                <w:lang w:bidi="en-US"/>
              </w:rPr>
              <w:t>份</w:t>
            </w:r>
          </w:p>
        </w:tc>
        <w:tc>
          <w:tcPr>
            <w:tcW w:w="1415" w:type="dxa"/>
            <w:tcBorders>
              <w:top w:val="single" w:color="000000" w:sz="4" w:space="0"/>
              <w:left w:val="single" w:color="000000" w:sz="4" w:space="0"/>
              <w:bottom w:val="single" w:color="000000" w:sz="4" w:space="0"/>
              <w:right w:val="single" w:color="000000" w:sz="4" w:space="0"/>
            </w:tcBorders>
            <w:vAlign w:val="center"/>
          </w:tcPr>
          <w:p w14:paraId="59FE7BE0">
            <w:pPr>
              <w:spacing w:line="240" w:lineRule="exact"/>
              <w:ind w:firstLine="0" w:firstLineChars="0"/>
              <w:jc w:val="center"/>
              <w:rPr>
                <w:rFonts w:hint="eastAsia" w:ascii="宋体" w:hAnsi="宋体" w:eastAsia="宋体" w:cs="宋体"/>
                <w:color w:val="FF0000"/>
                <w:sz w:val="24"/>
                <w:szCs w:val="24"/>
                <w:lang w:bidi="en-US"/>
              </w:rPr>
            </w:pPr>
            <w:r>
              <w:rPr>
                <w:rFonts w:hint="eastAsia" w:ascii="宋体" w:hAnsi="宋体" w:eastAsia="宋体" w:cs="宋体"/>
                <w:color w:val="FF0000"/>
                <w:sz w:val="24"/>
                <w:szCs w:val="24"/>
                <w:lang w:bidi="en-US"/>
              </w:rPr>
              <w:t>符合合同约定</w:t>
            </w:r>
          </w:p>
        </w:tc>
      </w:tr>
    </w:tbl>
    <w:p w14:paraId="101F3132">
      <w:pPr>
        <w:spacing w:line="360" w:lineRule="auto"/>
        <w:ind w:firstLine="480" w:firstLineChars="200"/>
        <w:rPr>
          <w:sz w:val="24"/>
        </w:rPr>
      </w:pPr>
      <w:r>
        <w:rPr>
          <w:sz w:val="24"/>
        </w:rPr>
        <w:t>备注：</w:t>
      </w:r>
    </w:p>
    <w:p w14:paraId="06936792">
      <w:pPr>
        <w:spacing w:line="360" w:lineRule="auto"/>
        <w:ind w:firstLine="480" w:firstLineChars="200"/>
        <w:rPr>
          <w:sz w:val="24"/>
        </w:rPr>
      </w:pPr>
      <w:r>
        <w:rPr>
          <w:rFonts w:hint="eastAsia"/>
          <w:sz w:val="24"/>
          <w:lang w:val="en-US" w:eastAsia="zh-CN"/>
        </w:rPr>
        <w:t>①</w:t>
      </w:r>
      <w:r>
        <w:rPr>
          <w:sz w:val="24"/>
        </w:rPr>
        <w:t>咨询成果文件如因委托人需要或政策调整的，需要合理增加份数的，咨询人应根据委托人要求的合理份数提供。</w:t>
      </w:r>
      <w:r>
        <w:rPr>
          <w:rFonts w:hint="eastAsia"/>
          <w:sz w:val="24"/>
          <w:lang w:val="en-US" w:eastAsia="zh-CN"/>
        </w:rPr>
        <w:t>②</w:t>
      </w:r>
      <w:r>
        <w:rPr>
          <w:sz w:val="24"/>
        </w:rPr>
        <w:t>对咨询人提交的咨询成果文件，委托人可对不符合要求的地方提出修改意见，咨询人应根据修改意见免费开展文件修改工作。</w:t>
      </w:r>
    </w:p>
    <w:p w14:paraId="5FF903F0">
      <w:pPr>
        <w:spacing w:line="360" w:lineRule="auto"/>
        <w:ind w:firstLine="480" w:firstLineChars="200"/>
        <w:rPr>
          <w:sz w:val="24"/>
        </w:rPr>
      </w:pPr>
      <w:r>
        <w:rPr>
          <w:sz w:val="24"/>
        </w:rPr>
        <w:t>3.2.4咨询人应在收到委托人以书面形式提出的建议或者异议后</w:t>
      </w:r>
      <w:r>
        <w:rPr>
          <w:sz w:val="24"/>
          <w:u w:val="single"/>
        </w:rPr>
        <w:t xml:space="preserve">  </w:t>
      </w:r>
      <w:r>
        <w:rPr>
          <w:rFonts w:hint="eastAsia"/>
          <w:sz w:val="24"/>
          <w:u w:val="single"/>
        </w:rPr>
        <w:t>三</w:t>
      </w:r>
      <w:r>
        <w:rPr>
          <w:sz w:val="24"/>
          <w:u w:val="single"/>
        </w:rPr>
        <w:t xml:space="preserve">  </w:t>
      </w:r>
      <w:r>
        <w:rPr>
          <w:sz w:val="24"/>
        </w:rPr>
        <w:t>日内给予书面答复。</w:t>
      </w:r>
    </w:p>
    <w:p w14:paraId="6F18EBFC">
      <w:pPr>
        <w:spacing w:line="360" w:lineRule="auto"/>
        <w:ind w:firstLine="480" w:firstLineChars="200"/>
        <w:rPr>
          <w:sz w:val="24"/>
        </w:rPr>
      </w:pPr>
      <w:r>
        <w:rPr>
          <w:sz w:val="24"/>
        </w:rPr>
        <w:t>3.2.5</w:t>
      </w:r>
      <w:r>
        <w:rPr>
          <w:rFonts w:hint="eastAsia"/>
          <w:sz w:val="24"/>
        </w:rPr>
        <w:t>委托人按照《西南石油大学委托社会审计管理办法》</w:t>
      </w:r>
      <w:r>
        <w:rPr>
          <w:sz w:val="24"/>
        </w:rPr>
        <w:t>等相关管理规定</w:t>
      </w:r>
      <w:r>
        <w:rPr>
          <w:rFonts w:hint="eastAsia"/>
          <w:sz w:val="24"/>
        </w:rPr>
        <w:t>对咨询人进行管理和考核</w:t>
      </w:r>
      <w:r>
        <w:rPr>
          <w:sz w:val="24"/>
        </w:rPr>
        <w:t>，咨询人应按其管理规定执行</w:t>
      </w:r>
      <w:r>
        <w:rPr>
          <w:rFonts w:hint="eastAsia"/>
          <w:sz w:val="24"/>
        </w:rPr>
        <w:t>，</w:t>
      </w:r>
      <w:r>
        <w:rPr>
          <w:sz w:val="24"/>
        </w:rPr>
        <w:t>不得出现推托、懈怠、不执行的情况。</w:t>
      </w:r>
    </w:p>
    <w:p w14:paraId="2A22235A">
      <w:pPr>
        <w:pStyle w:val="20"/>
        <w:spacing w:before="60"/>
        <w:ind w:firstLine="480" w:firstLineChars="200"/>
        <w:jc w:val="left"/>
        <w:outlineLvl w:val="9"/>
        <w:rPr>
          <w:rFonts w:ascii="Times New Roman" w:hAnsi="Times New Roman"/>
          <w:b w:val="0"/>
          <w:sz w:val="24"/>
          <w:szCs w:val="24"/>
        </w:rPr>
      </w:pPr>
      <w:bookmarkStart w:id="774" w:name="_Toc15610"/>
      <w:bookmarkStart w:id="775" w:name="_Toc50456190"/>
      <w:bookmarkStart w:id="776" w:name="_Toc419045111"/>
      <w:r>
        <w:rPr>
          <w:rFonts w:ascii="Times New Roman" w:hAnsi="Times New Roman"/>
          <w:b w:val="0"/>
          <w:sz w:val="24"/>
          <w:szCs w:val="24"/>
        </w:rPr>
        <w:t>3.3咨询人的工作依据</w:t>
      </w:r>
      <w:bookmarkEnd w:id="774"/>
      <w:bookmarkEnd w:id="775"/>
      <w:bookmarkEnd w:id="776"/>
    </w:p>
    <w:p w14:paraId="7AB2F075">
      <w:pPr>
        <w:spacing w:line="360" w:lineRule="auto"/>
        <w:ind w:firstLine="480" w:firstLineChars="200"/>
        <w:rPr>
          <w:sz w:val="24"/>
        </w:rPr>
      </w:pPr>
      <w:bookmarkStart w:id="777" w:name="_Toc419045112"/>
      <w:r>
        <w:rPr>
          <w:sz w:val="24"/>
        </w:rPr>
        <w:t>经双方协商，本合同约定的造价咨询服务适用的技术标准、规范、定额等工作依据为：</w:t>
      </w:r>
    </w:p>
    <w:p w14:paraId="3DBFC49F">
      <w:pPr>
        <w:spacing w:line="360" w:lineRule="auto"/>
        <w:ind w:firstLine="480" w:firstLineChars="200"/>
        <w:rPr>
          <w:sz w:val="24"/>
        </w:rPr>
      </w:pPr>
      <w:r>
        <w:rPr>
          <w:sz w:val="24"/>
          <w:u w:val="single"/>
        </w:rPr>
        <w:t>①《建设工程工程量清单计价规范》</w:t>
      </w:r>
      <w:r>
        <w:rPr>
          <w:rFonts w:hint="eastAsia"/>
          <w:sz w:val="24"/>
          <w:u w:val="single"/>
          <w:lang w:eastAsia="zh-CN"/>
        </w:rPr>
        <w:t>(</w:t>
      </w:r>
      <w:r>
        <w:rPr>
          <w:sz w:val="24"/>
          <w:u w:val="single"/>
        </w:rPr>
        <w:t>GB50500-2013</w:t>
      </w:r>
      <w:r>
        <w:rPr>
          <w:rFonts w:hint="eastAsia"/>
          <w:sz w:val="24"/>
          <w:u w:val="single"/>
          <w:lang w:eastAsia="zh-CN"/>
        </w:rPr>
        <w:t>)</w:t>
      </w:r>
      <w:r>
        <w:rPr>
          <w:sz w:val="24"/>
          <w:u w:val="single"/>
        </w:rPr>
        <w:t>、四川省2020工程量清单计价定额及其配套文件</w:t>
      </w:r>
      <w:r>
        <w:rPr>
          <w:sz w:val="24"/>
        </w:rPr>
        <w:t>。</w:t>
      </w:r>
    </w:p>
    <w:p w14:paraId="00E6D504">
      <w:pPr>
        <w:spacing w:line="360" w:lineRule="auto"/>
        <w:ind w:firstLine="480" w:firstLineChars="200"/>
        <w:rPr>
          <w:sz w:val="24"/>
          <w:u w:val="single"/>
          <w:lang w:bidi="en-US"/>
        </w:rPr>
      </w:pPr>
      <w:r>
        <w:rPr>
          <w:sz w:val="24"/>
          <w:u w:val="single"/>
          <w:lang w:bidi="en-US"/>
        </w:rPr>
        <w:t>②</w:t>
      </w:r>
      <w:r>
        <w:rPr>
          <w:sz w:val="24"/>
          <w:u w:val="single"/>
        </w:rPr>
        <w:t>《建设工程造价咨询规范》</w:t>
      </w:r>
      <w:r>
        <w:rPr>
          <w:rFonts w:hint="eastAsia"/>
          <w:sz w:val="24"/>
          <w:u w:val="single"/>
          <w:lang w:eastAsia="zh-CN"/>
        </w:rPr>
        <w:t>(</w:t>
      </w:r>
      <w:r>
        <w:rPr>
          <w:sz w:val="24"/>
          <w:u w:val="single"/>
        </w:rPr>
        <w:t>GB/T51095</w:t>
      </w:r>
      <w:r>
        <w:rPr>
          <w:rFonts w:hint="eastAsia"/>
          <w:sz w:val="24"/>
          <w:u w:val="single"/>
          <w:lang w:eastAsia="zh-CN"/>
        </w:rPr>
        <w:t>)</w:t>
      </w:r>
      <w:r>
        <w:rPr>
          <w:sz w:val="24"/>
          <w:u w:val="single"/>
        </w:rPr>
        <w:t>、《建设工程造价咨询成果文件质量标准》</w:t>
      </w:r>
      <w:r>
        <w:rPr>
          <w:rFonts w:hint="eastAsia"/>
          <w:sz w:val="24"/>
          <w:u w:val="single"/>
          <w:lang w:eastAsia="zh-CN"/>
        </w:rPr>
        <w:t>(</w:t>
      </w:r>
      <w:r>
        <w:rPr>
          <w:sz w:val="24"/>
          <w:u w:val="single"/>
        </w:rPr>
        <w:t>CECA/GC7)和《四川省工程造价咨询服务标准》</w:t>
      </w:r>
      <w:r>
        <w:rPr>
          <w:rFonts w:hint="eastAsia"/>
          <w:sz w:val="24"/>
          <w:u w:val="single"/>
          <w:lang w:eastAsia="zh-CN"/>
        </w:rPr>
        <w:t>(</w:t>
      </w:r>
      <w:r>
        <w:rPr>
          <w:sz w:val="24"/>
          <w:u w:val="single"/>
        </w:rPr>
        <w:t>川建价师协[2017]11号</w:t>
      </w:r>
      <w:r>
        <w:rPr>
          <w:rFonts w:hint="eastAsia"/>
          <w:sz w:val="24"/>
          <w:u w:val="single"/>
          <w:lang w:eastAsia="zh-CN"/>
        </w:rPr>
        <w:t>)</w:t>
      </w:r>
      <w:r>
        <w:rPr>
          <w:sz w:val="24"/>
          <w:u w:val="single"/>
          <w:lang w:bidi="en-US"/>
        </w:rPr>
        <w:t>。</w:t>
      </w:r>
    </w:p>
    <w:p w14:paraId="3286B858">
      <w:pPr>
        <w:spacing w:line="360" w:lineRule="auto"/>
        <w:ind w:firstLine="480" w:firstLineChars="200"/>
        <w:rPr>
          <w:sz w:val="24"/>
          <w:u w:val="single"/>
          <w:lang w:bidi="en-US"/>
        </w:rPr>
      </w:pPr>
      <w:r>
        <w:rPr>
          <w:sz w:val="24"/>
          <w:u w:val="single"/>
          <w:lang w:bidi="en-US"/>
        </w:rPr>
        <w:t>③其他与项目相适应的法律法规、规章制度。</w:t>
      </w:r>
    </w:p>
    <w:p w14:paraId="755AE328">
      <w:pPr>
        <w:pStyle w:val="20"/>
        <w:spacing w:before="60"/>
        <w:ind w:firstLine="480" w:firstLineChars="200"/>
        <w:jc w:val="left"/>
        <w:outlineLvl w:val="9"/>
        <w:rPr>
          <w:rFonts w:ascii="Times New Roman" w:hAnsi="Times New Roman"/>
          <w:b w:val="0"/>
          <w:sz w:val="24"/>
          <w:szCs w:val="24"/>
        </w:rPr>
      </w:pPr>
      <w:bookmarkStart w:id="778" w:name="_Toc50456191"/>
      <w:bookmarkStart w:id="779" w:name="_Toc14277"/>
      <w:r>
        <w:rPr>
          <w:rFonts w:ascii="Times New Roman" w:hAnsi="Times New Roman"/>
          <w:b w:val="0"/>
          <w:sz w:val="24"/>
          <w:szCs w:val="24"/>
        </w:rPr>
        <w:t>3.4使用委托人房屋及设备的返还</w:t>
      </w:r>
      <w:bookmarkEnd w:id="777"/>
      <w:bookmarkEnd w:id="778"/>
      <w:bookmarkEnd w:id="779"/>
    </w:p>
    <w:p w14:paraId="3AC95D0C">
      <w:pPr>
        <w:spacing w:line="360" w:lineRule="auto"/>
        <w:ind w:firstLine="480" w:firstLineChars="200"/>
        <w:rPr>
          <w:sz w:val="24"/>
        </w:rPr>
      </w:pPr>
      <w:r>
        <w:rPr>
          <w:sz w:val="24"/>
        </w:rPr>
        <w:t>咨询人应在本合同终止后</w:t>
      </w:r>
      <w:r>
        <w:rPr>
          <w:sz w:val="24"/>
          <w:u w:val="single"/>
        </w:rPr>
        <w:t xml:space="preserve">  /  </w:t>
      </w:r>
      <w:r>
        <w:rPr>
          <w:sz w:val="24"/>
        </w:rPr>
        <w:t>日内移交委托人提供的房屋及设备，移交的方式为</w:t>
      </w:r>
      <w:r>
        <w:rPr>
          <w:sz w:val="24"/>
          <w:u w:val="single"/>
        </w:rPr>
        <w:t xml:space="preserve">  /   </w:t>
      </w:r>
      <w:r>
        <w:rPr>
          <w:sz w:val="24"/>
        </w:rPr>
        <w:t>。</w:t>
      </w:r>
    </w:p>
    <w:p w14:paraId="5A03599E">
      <w:pPr>
        <w:spacing w:line="360" w:lineRule="auto"/>
        <w:ind w:firstLine="480" w:firstLineChars="200"/>
        <w:rPr>
          <w:sz w:val="24"/>
        </w:rPr>
      </w:pPr>
      <w:r>
        <w:rPr>
          <w:sz w:val="24"/>
        </w:rPr>
        <w:t>3.5咨询人工作质量</w:t>
      </w:r>
    </w:p>
    <w:p w14:paraId="4D91EE72">
      <w:pPr>
        <w:spacing w:line="360" w:lineRule="auto"/>
        <w:ind w:firstLine="480" w:firstLineChars="200"/>
        <w:rPr>
          <w:sz w:val="24"/>
        </w:rPr>
      </w:pPr>
      <w:r>
        <w:rPr>
          <w:sz w:val="24"/>
        </w:rPr>
        <w:t>3.5.1咨询人提供的成果文件应满足委托人的要求，不得出现错、漏的情况。</w:t>
      </w:r>
    </w:p>
    <w:p w14:paraId="72756267">
      <w:pPr>
        <w:spacing w:line="360" w:lineRule="auto"/>
        <w:ind w:firstLine="480" w:firstLineChars="200"/>
        <w:rPr>
          <w:sz w:val="24"/>
        </w:rPr>
      </w:pPr>
      <w:r>
        <w:rPr>
          <w:sz w:val="24"/>
        </w:rPr>
        <w:t>3.5.2咨询人不得出现推诿、态度恶劣、办事拖拉等情况。</w:t>
      </w:r>
    </w:p>
    <w:p w14:paraId="1C4D0534">
      <w:pPr>
        <w:pStyle w:val="24"/>
        <w:spacing w:before="0" w:after="0" w:line="360" w:lineRule="auto"/>
        <w:ind w:firstLine="482" w:firstLineChars="200"/>
        <w:jc w:val="left"/>
        <w:outlineLvl w:val="9"/>
        <w:rPr>
          <w:rFonts w:ascii="Times New Roman" w:hAnsi="Times New Roman"/>
          <w:szCs w:val="24"/>
        </w:rPr>
      </w:pPr>
      <w:bookmarkStart w:id="780" w:name="_Toc419045113"/>
      <w:bookmarkStart w:id="781" w:name="_Toc18144"/>
      <w:bookmarkStart w:id="782" w:name="_Toc50456192"/>
      <w:r>
        <w:rPr>
          <w:rFonts w:ascii="Times New Roman" w:hAnsi="Times New Roman"/>
          <w:szCs w:val="24"/>
        </w:rPr>
        <w:t>4.违约责任</w:t>
      </w:r>
      <w:bookmarkEnd w:id="780"/>
      <w:bookmarkEnd w:id="781"/>
      <w:bookmarkEnd w:id="782"/>
    </w:p>
    <w:p w14:paraId="51CD5210">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83" w:name="_Toc6216"/>
      <w:bookmarkStart w:id="784" w:name="_Toc50456193"/>
      <w:r>
        <w:t>4.1委托人的违约责任</w:t>
      </w:r>
      <w:bookmarkEnd w:id="783"/>
      <w:bookmarkEnd w:id="784"/>
    </w:p>
    <w:p w14:paraId="4CD2162A">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4.1.1委托人违约金的计算及支付方法：  /   。</w:t>
      </w:r>
    </w:p>
    <w:p w14:paraId="32A927BE">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4.1.2委托人赔偿金额按下列方法确定并支付：  /   。</w:t>
      </w:r>
    </w:p>
    <w:p w14:paraId="1E667FBD">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4.1.3 委托人逾期付款利息按下列方法计算并支付：  /   。</w:t>
      </w:r>
    </w:p>
    <w:p w14:paraId="5D3F35B9">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85" w:name="_Toc28760"/>
      <w:bookmarkStart w:id="786" w:name="_Toc50456194"/>
      <w:bookmarkStart w:id="787" w:name="_Toc419045114"/>
      <w:r>
        <w:t>4.2咨询人的违约责任</w:t>
      </w:r>
      <w:bookmarkEnd w:id="785"/>
      <w:bookmarkEnd w:id="786"/>
    </w:p>
    <w:bookmarkEnd w:id="787"/>
    <w:p w14:paraId="5CFCDFA9">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4.2.1咨询人违约金的计算及支付方法。</w:t>
      </w:r>
    </w:p>
    <w:p w14:paraId="6C1D2DFC">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4.2.1.1咨询人的工作时效达不到委托人要求的次数累计在3次以内的，委托人将书面通知</w:t>
      </w:r>
      <w:r>
        <w:rPr>
          <w:rFonts w:hint="eastAsia"/>
          <w:lang w:eastAsia="zh-CN"/>
        </w:rPr>
        <w:t>(</w:t>
      </w:r>
      <w:r>
        <w:t>含电子邮件</w:t>
      </w:r>
      <w:r>
        <w:rPr>
          <w:rFonts w:hint="eastAsia"/>
          <w:lang w:eastAsia="zh-CN"/>
        </w:rPr>
        <w:t>)</w:t>
      </w:r>
      <w:r>
        <w:t>其加快工作进度。书面通知</w:t>
      </w:r>
      <w:r>
        <w:rPr>
          <w:rFonts w:hint="eastAsia"/>
          <w:lang w:eastAsia="zh-CN"/>
        </w:rPr>
        <w:t>(</w:t>
      </w:r>
      <w:r>
        <w:t>含电子邮件</w:t>
      </w:r>
      <w:r>
        <w:rPr>
          <w:rFonts w:hint="eastAsia"/>
          <w:lang w:eastAsia="zh-CN"/>
        </w:rPr>
        <w:t>)</w:t>
      </w:r>
      <w:r>
        <w:t>累计次数达3次以上、5次以内的，委托人将对咨询人处以该单个项目酬金10％的违约金；累计次数达5次以上，委托人有权与咨询人解除合同，并不支付剩余酬金，且有权要求咨询人返还已支付酬金。</w:t>
      </w:r>
    </w:p>
    <w:p w14:paraId="367A0359">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4.2.1.2咨询人的报告等成果资料经由委托人或委托人委托的其他造价咨询单位审核后，发现咨询人的成果文件不能满足第3.5条的工作质量要求和协议书中质量标准的，咨询人应当按委托人要求修正成果文件。如果咨询人经两次修正仍未达到第3.5条的工作质量要求和协议书中质量标准的，委托人有权要求咨询人支付该单个项目酬金20%的违约金，同时有权单方直接解除合同，并不承担任何责任,造成委托人损失的，咨询人应全额赔偿。</w:t>
      </w:r>
    </w:p>
    <w:p w14:paraId="01DF4F44">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4.2.1.3咨询人不得泄露本咨询服务内容，未经委托人书面同意，咨询人不得以任何方式对外泄露委托人提交的资料或将委托人提交的资料用于与本项目无关的其它任何事项，否则委托人有权按该单个项目酬金的20%向咨询人主张违约金，对委托人造成的名誉及经济损失，咨询人应向委托人全额赔偿。</w:t>
      </w:r>
    </w:p>
    <w:p w14:paraId="60DE308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eastAsia="zh-CN"/>
        </w:rPr>
      </w:pPr>
      <w:r>
        <w:t>4.2.1.4</w:t>
      </w:r>
      <w:r>
        <w:rPr>
          <w:rFonts w:hint="eastAsia"/>
          <w:lang w:val="en-US" w:eastAsia="zh-CN"/>
        </w:rPr>
        <w:t>若结算审计时发现进度款、经济签证、新增综合单价等审核结果与最终审计结果差异较大，每发现一处委托人有权</w:t>
      </w:r>
      <w:r>
        <w:t>按该项目酬金的</w:t>
      </w:r>
      <w:r>
        <w:rPr>
          <w:rFonts w:hint="eastAsia"/>
          <w:lang w:val="en-US" w:eastAsia="zh-CN"/>
        </w:rPr>
        <w:t>5</w:t>
      </w:r>
      <w:r>
        <w:t>%</w:t>
      </w:r>
      <w:r>
        <w:rPr>
          <w:rFonts w:hint="eastAsia"/>
          <w:lang w:val="en-US" w:eastAsia="zh-CN"/>
        </w:rPr>
        <w:t>进行扣款处罚，</w:t>
      </w:r>
      <w:r>
        <w:t>并按</w:t>
      </w:r>
      <w:r>
        <w:rPr>
          <w:rFonts w:hint="eastAsia"/>
        </w:rPr>
        <w:t>行业主管部门</w:t>
      </w:r>
      <w:r>
        <w:t>要求，将相关信息移交行业主管单位，纳入企业信用评价</w:t>
      </w:r>
      <w:r>
        <w:rPr>
          <w:rFonts w:hint="eastAsia"/>
          <w:lang w:val="en-US" w:eastAsia="zh-CN"/>
        </w:rPr>
        <w:t>。</w:t>
      </w:r>
      <w:r>
        <w:t>若因咨询人提交成果有误给委托人造成损失的，咨询人应赔偿委托人经济损失</w:t>
      </w:r>
      <w:r>
        <w:rPr>
          <w:rFonts w:hint="eastAsia"/>
          <w:lang w:eastAsia="zh-CN"/>
        </w:rPr>
        <w:t>，赔偿</w:t>
      </w:r>
      <w:r>
        <w:rPr>
          <w:rFonts w:hint="eastAsia"/>
          <w:lang w:val="en-US" w:eastAsia="zh-CN"/>
        </w:rPr>
        <w:t>金额</w:t>
      </w:r>
      <w:r>
        <w:rPr>
          <w:rFonts w:hint="eastAsia"/>
          <w:lang w:eastAsia="zh-CN"/>
        </w:rPr>
        <w:t>不超过</w:t>
      </w:r>
      <w:r>
        <w:rPr>
          <w:rFonts w:hint="eastAsia"/>
          <w:lang w:val="en-US" w:eastAsia="zh-CN"/>
        </w:rPr>
        <w:t>本合同</w:t>
      </w:r>
      <w:r>
        <w:rPr>
          <w:rFonts w:hint="eastAsia"/>
          <w:lang w:eastAsia="zh-CN"/>
        </w:rPr>
        <w:t>酬金总额</w:t>
      </w:r>
      <w:r>
        <w:t>。委托人有权按照法律、法规追究咨询人相关责任。</w:t>
      </w:r>
    </w:p>
    <w:p w14:paraId="6C99EC5C">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4.2.1.5咨询人未按委托人的各项规章制度、管理办法开展工作，不服从委托人的管理，拒不执行委托人在考核管理规定下做出的合理考核结果的，咨询人应按就项目酬金的5%向委托人支付违约金，委托人有权单方解除合同，且不承担任何违约责任。</w:t>
      </w:r>
    </w:p>
    <w:p w14:paraId="680D71C4">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4.2.1.6咨询人未经委托人书面同意，不得单方终止或解除合同，否则，应向委托人支付违约金，违约金的具体计算如下：在终止或解除合同时，按项目酬金的20%向委托人支付违约金。</w:t>
      </w:r>
    </w:p>
    <w:p w14:paraId="5206CB45">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4.2.1.7咨询人发生下列行为之一的，学校有权取消其审计服务资格，同时禁止参加学校以后自主采购的审计服务采购活动：</w:t>
      </w:r>
      <w:r>
        <w:rPr>
          <w:lang w:val="en-US" w:eastAsia="zh-CN"/>
        </w:rPr>
        <w:t>咨询人</w:t>
      </w:r>
      <w:r>
        <w:rPr>
          <w:rFonts w:hint="eastAsia"/>
          <w:lang w:val="en-US" w:eastAsia="zh-CN"/>
        </w:rPr>
        <w:t>在履行委托审计业务过程中，项目组成员与响应文件中承诺的不一致；项目组成员私下与被审计单位和人员就审计事项发生任何接触联系；</w:t>
      </w:r>
      <w:r>
        <w:rPr>
          <w:lang w:val="en-US" w:eastAsia="zh-CN"/>
        </w:rPr>
        <w:t>咨询人</w:t>
      </w:r>
      <w:r>
        <w:rPr>
          <w:rFonts w:hint="eastAsia"/>
          <w:lang w:val="en-US" w:eastAsia="zh-CN"/>
        </w:rPr>
        <w:t>将受托审计项目转包或分包给其他单位或个人；</w:t>
      </w:r>
      <w:r>
        <w:rPr>
          <w:lang w:val="en-US" w:eastAsia="zh-CN"/>
        </w:rPr>
        <w:t>咨询人</w:t>
      </w:r>
      <w:r>
        <w:rPr>
          <w:rFonts w:hint="eastAsia"/>
          <w:lang w:val="en-US" w:eastAsia="zh-CN"/>
        </w:rPr>
        <w:t>未按委托合同的要求实施审计或提供审计报告、审计工作不规范、审计结论避重就轻，且拒绝纠正；</w:t>
      </w:r>
      <w:r>
        <w:rPr>
          <w:lang w:val="en-US" w:eastAsia="zh-CN"/>
        </w:rPr>
        <w:t>咨询人</w:t>
      </w:r>
      <w:r>
        <w:rPr>
          <w:rFonts w:hint="eastAsia"/>
          <w:lang w:val="en-US" w:eastAsia="zh-CN"/>
        </w:rPr>
        <w:t>提供的审计结果严重失实、审计结论不准确、审计报告存在未真实、客观反映情况或披露问题等重大错漏质量问题，且拒绝进行重新审计或纠正(同时学校将停止支付审计费用)；未在规定时间内完成审计工作；被行业主管部门或信用公开网站上公示有不良行为；通过弄虚作假、串通作弊等不正当手段取得委托审计业务；泄露所知悉的国家秘密、商业秘密、工作秘密等；违反审计工作纪律或有其他违法行为；已不符合资格条件等其他情况。</w:t>
      </w:r>
    </w:p>
    <w:p w14:paraId="66D25F37">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b/>
          <w:bCs/>
          <w:lang w:val="en-US" w:eastAsia="zh-CN"/>
        </w:rPr>
      </w:pPr>
      <w:bookmarkStart w:id="788" w:name="_Toc27132"/>
      <w:bookmarkStart w:id="789" w:name="_Toc419045115"/>
      <w:bookmarkStart w:id="790" w:name="_Toc50456195"/>
      <w:r>
        <w:rPr>
          <w:b/>
          <w:bCs/>
          <w:lang w:val="en-US" w:eastAsia="zh-CN"/>
        </w:rPr>
        <w:t>5.支付</w:t>
      </w:r>
      <w:bookmarkEnd w:id="788"/>
      <w:bookmarkEnd w:id="789"/>
      <w:bookmarkEnd w:id="790"/>
    </w:p>
    <w:p w14:paraId="2F9BBA37">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91" w:name="_Toc50456196"/>
      <w:bookmarkStart w:id="792" w:name="_Toc419045116"/>
      <w:bookmarkStart w:id="793" w:name="_Toc906"/>
      <w:r>
        <w:t>5.1支付货币</w:t>
      </w:r>
      <w:bookmarkEnd w:id="791"/>
      <w:bookmarkEnd w:id="792"/>
    </w:p>
    <w:bookmarkEnd w:id="793"/>
    <w:p w14:paraId="0443A5C7">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币种为：  人民币  ，汇率为：  /   ，其他约定：  /   。</w:t>
      </w:r>
    </w:p>
    <w:p w14:paraId="323B75F2">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94" w:name="_Toc50456197"/>
      <w:bookmarkStart w:id="795" w:name="_Toc419045117"/>
      <w:bookmarkStart w:id="796" w:name="_Toc16292"/>
      <w:r>
        <w:t>5.2支付申请</w:t>
      </w:r>
      <w:bookmarkEnd w:id="794"/>
      <w:bookmarkEnd w:id="795"/>
    </w:p>
    <w:bookmarkEnd w:id="796"/>
    <w:p w14:paraId="2E2896AA">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咨询人应在本合同约定的每次应付款日期  七  日前，向委托人提交支付申请书。</w:t>
      </w:r>
    </w:p>
    <w:p w14:paraId="6628B1C0">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797" w:name="_Toc419045118"/>
      <w:bookmarkStart w:id="798" w:name="_Toc50456198"/>
      <w:bookmarkStart w:id="799" w:name="_Toc23672"/>
      <w:r>
        <w:t>5.3支付酬金</w:t>
      </w:r>
      <w:bookmarkEnd w:id="797"/>
      <w:bookmarkEnd w:id="798"/>
    </w:p>
    <w:bookmarkEnd w:id="799"/>
    <w:p w14:paraId="0E1A2453">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bookmarkStart w:id="800" w:name="_Toc50456199"/>
      <w:bookmarkStart w:id="801" w:name="_Toc419045120"/>
      <w:r>
        <w:rPr>
          <w:rFonts w:hint="eastAsia"/>
          <w:lang w:val="en-US" w:eastAsia="zh-CN"/>
        </w:rPr>
        <w:t>5.3.1</w:t>
      </w:r>
      <w:r>
        <w:rPr>
          <w:rFonts w:hint="eastAsia"/>
        </w:rPr>
        <w:t>出具清标报告、工程项目基础部分完工后出具《工程造价控制与工程管理评价报告》、工程项目主体部分完工后出具《工程造价控制与工程管理评价报告》、工程项目通过正式竣工验收后出具《工程造价控制与工程管理评价报告》、工程项目竣工结算审计完毕，交接所有的审计资料及相关票据，达到付款条件起15日内，支付合同总金额100%(以结算审定金额为计算基数)。</w:t>
      </w:r>
    </w:p>
    <w:bookmarkEnd w:id="800"/>
    <w:p w14:paraId="4A966FDC">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5.3.</w:t>
      </w:r>
      <w:r>
        <w:rPr>
          <w:rFonts w:hint="eastAsia"/>
          <w:lang w:val="en-US" w:eastAsia="zh-CN"/>
        </w:rPr>
        <w:t>2</w:t>
      </w:r>
      <w:r>
        <w:t>在付款前，咨询人应向委托人提交合法等额有效，且符合委托人要求的发票和书面付款申请作为付款依据。如因咨询人未能及时提交所需的相关资料和票据或提交的资料和票据不能满足委托人的付款要求，造成付款延误的，委托人不承担逾期付款的责任。</w:t>
      </w:r>
    </w:p>
    <w:p w14:paraId="084E2849">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b/>
          <w:bCs/>
        </w:rPr>
      </w:pPr>
      <w:bookmarkStart w:id="802" w:name="_Toc4162"/>
      <w:bookmarkStart w:id="803" w:name="_Toc50456202"/>
      <w:r>
        <w:rPr>
          <w:b/>
          <w:bCs/>
        </w:rPr>
        <w:t>6.合同变更、解除与终止</w:t>
      </w:r>
      <w:bookmarkEnd w:id="802"/>
    </w:p>
    <w:p w14:paraId="396C386F">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804" w:name="_Toc7428"/>
      <w:r>
        <w:t>6.1合同变更</w:t>
      </w:r>
      <w:bookmarkEnd w:id="801"/>
      <w:bookmarkEnd w:id="803"/>
      <w:bookmarkEnd w:id="804"/>
      <w:r>
        <w:br w:type="textWrapping"/>
      </w:r>
      <w:r>
        <w:t xml:space="preserve">    6.1.2除不可抗力外，因非咨询人原因导致本合同履行期限延长、内容增加时，附加工作酬金按下列方法确定：  /   。 </w:t>
      </w:r>
      <w:r>
        <w:br w:type="textWrapping"/>
      </w:r>
      <w:r>
        <w:t xml:space="preserve">    6.1.4因工程规模、服务范围及内容的变化等导致咨询人的工作量增减时，服务酬金的调整方法：  /   。</w:t>
      </w:r>
    </w:p>
    <w:p w14:paraId="07BDD1D8">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805" w:name="_Toc27021"/>
      <w:bookmarkStart w:id="806" w:name="_Toc50456203"/>
      <w:r>
        <w:t>6.2合同解除</w:t>
      </w:r>
      <w:bookmarkEnd w:id="805"/>
      <w:bookmarkEnd w:id="806"/>
    </w:p>
    <w:p w14:paraId="182804F1">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 xml:space="preserve">6.2.2双方约定解除合同的条件还包括：  /   。 </w:t>
      </w:r>
    </w:p>
    <w:p w14:paraId="5252513D">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6.2.4因不可抗力导致的合同解除，双方约定损失的分担如下：  /   。</w:t>
      </w:r>
    </w:p>
    <w:p w14:paraId="3B037A23">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b/>
          <w:bCs/>
        </w:rPr>
      </w:pPr>
      <w:bookmarkStart w:id="807" w:name="_Toc10747"/>
      <w:bookmarkStart w:id="808" w:name="_Toc419045121"/>
      <w:bookmarkStart w:id="809" w:name="_Toc50456204"/>
      <w:r>
        <w:rPr>
          <w:b/>
          <w:bCs/>
        </w:rPr>
        <w:t>7.争议解决</w:t>
      </w:r>
      <w:bookmarkEnd w:id="807"/>
      <w:bookmarkEnd w:id="808"/>
      <w:bookmarkEnd w:id="809"/>
    </w:p>
    <w:p w14:paraId="0F71568D">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810" w:name="_Toc419045122"/>
      <w:bookmarkStart w:id="811" w:name="_Toc50456205"/>
      <w:bookmarkStart w:id="812" w:name="_Toc15173"/>
      <w:r>
        <w:t>7.2调解</w:t>
      </w:r>
      <w:bookmarkEnd w:id="810"/>
      <w:bookmarkEnd w:id="811"/>
      <w:bookmarkEnd w:id="812"/>
      <w:r>
        <w:br w:type="textWrapping"/>
      </w:r>
      <w:r>
        <w:t xml:space="preserve">    如果双方不能在  十四  日内解决本合同争议，可以将其提交  行政主管部门  进行调解。</w:t>
      </w:r>
    </w:p>
    <w:p w14:paraId="0A121DCB">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813" w:name="_Toc410"/>
      <w:bookmarkStart w:id="814" w:name="_Toc50456206"/>
      <w:r>
        <w:t>7.3仲裁或诉讼</w:t>
      </w:r>
      <w:bookmarkEnd w:id="813"/>
      <w:bookmarkEnd w:id="814"/>
    </w:p>
    <w:p w14:paraId="740D9B8E">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 xml:space="preserve">合同争议的最终解决方式为下列第  </w:t>
      </w:r>
      <w:r>
        <w:rPr>
          <w:rFonts w:hint="eastAsia"/>
          <w:lang w:eastAsia="zh-CN"/>
        </w:rPr>
        <w:t>(</w:t>
      </w:r>
      <w:r>
        <w:rPr>
          <w:rFonts w:hint="eastAsia"/>
          <w:lang w:val="en-US" w:eastAsia="zh-CN"/>
        </w:rPr>
        <w:t>2</w:t>
      </w:r>
      <w:r>
        <w:rPr>
          <w:rFonts w:hint="eastAsia"/>
          <w:lang w:eastAsia="zh-CN"/>
        </w:rPr>
        <w:t>)</w:t>
      </w:r>
      <w:r>
        <w:t xml:space="preserve">  种方式：</w:t>
      </w:r>
      <w:r>
        <w:br w:type="textWrapping"/>
      </w:r>
      <w:r>
        <w:t xml:space="preserve">   </w:t>
      </w:r>
      <w:r>
        <w:rPr>
          <w:rFonts w:hint="eastAsia"/>
          <w:lang w:eastAsia="zh-CN"/>
        </w:rPr>
        <w:t>(</w:t>
      </w:r>
      <w:r>
        <w:t>1</w:t>
      </w:r>
      <w:r>
        <w:rPr>
          <w:rFonts w:hint="eastAsia"/>
          <w:lang w:eastAsia="zh-CN"/>
        </w:rPr>
        <w:t>)</w:t>
      </w:r>
      <w:r>
        <w:t>提请   成都   仲裁委员会进行仲裁。</w:t>
      </w:r>
      <w:r>
        <w:br w:type="textWrapping"/>
      </w:r>
      <w:r>
        <w:t xml:space="preserve">   </w:t>
      </w:r>
      <w:r>
        <w:rPr>
          <w:rFonts w:hint="eastAsia"/>
          <w:lang w:eastAsia="zh-CN"/>
        </w:rPr>
        <w:t>(</w:t>
      </w:r>
      <w:r>
        <w:t>2</w:t>
      </w:r>
      <w:r>
        <w:rPr>
          <w:rFonts w:hint="eastAsia"/>
          <w:lang w:eastAsia="zh-CN"/>
        </w:rPr>
        <w:t>)</w:t>
      </w:r>
      <w:r>
        <w:t>向  工程所在地   人民法院提起诉讼。</w:t>
      </w:r>
    </w:p>
    <w:p w14:paraId="49159A3C">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b/>
          <w:bCs/>
        </w:rPr>
      </w:pPr>
      <w:bookmarkStart w:id="815" w:name="_Toc50456207"/>
      <w:bookmarkStart w:id="816" w:name="_Toc419045123"/>
      <w:bookmarkStart w:id="817" w:name="_Toc10796"/>
      <w:r>
        <w:rPr>
          <w:b/>
          <w:bCs/>
        </w:rPr>
        <w:t>8.其他</w:t>
      </w:r>
      <w:bookmarkEnd w:id="815"/>
      <w:bookmarkEnd w:id="816"/>
      <w:bookmarkEnd w:id="817"/>
    </w:p>
    <w:p w14:paraId="5CCACF2E">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818" w:name="_Toc16177"/>
      <w:bookmarkStart w:id="819" w:name="_Toc50456208"/>
      <w:r>
        <w:t>8.1考察及相关费用</w:t>
      </w:r>
      <w:bookmarkEnd w:id="818"/>
      <w:bookmarkEnd w:id="819"/>
    </w:p>
    <w:p w14:paraId="6B7AFA50">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咨询人经委托人同意进行考察发生的费用由  /   支付。</w:t>
      </w:r>
    </w:p>
    <w:p w14:paraId="67E1D0C3">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 xml:space="preserve">差旅费及相关费用的支付：  /   。          </w:t>
      </w:r>
    </w:p>
    <w:p w14:paraId="5D12B2DD">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820" w:name="_Toc4002"/>
      <w:bookmarkStart w:id="821" w:name="_Toc50456209"/>
      <w:r>
        <w:t>8.2奖励</w:t>
      </w:r>
      <w:bookmarkEnd w:id="820"/>
      <w:bookmarkEnd w:id="821"/>
    </w:p>
    <w:p w14:paraId="3164A2F3">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 xml:space="preserve">合理化建议的奖励金额按下列方法确定：  /   。 </w:t>
      </w:r>
    </w:p>
    <w:p w14:paraId="7CCC15DF">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822" w:name="_Toc31939"/>
      <w:bookmarkStart w:id="823" w:name="_Toc50456210"/>
      <w:r>
        <w:t>8.3保密</w:t>
      </w:r>
      <w:bookmarkEnd w:id="822"/>
      <w:bookmarkEnd w:id="823"/>
    </w:p>
    <w:p w14:paraId="3C7004CC">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 xml:space="preserve"> 委托人申明的保密事项和期限：  永久  。</w:t>
      </w:r>
      <w:r>
        <w:br w:type="textWrapping"/>
      </w:r>
      <w:r>
        <w:t xml:space="preserve">    咨询人申明的保密事项和期限：  永久  。             </w:t>
      </w:r>
      <w:r>
        <w:br w:type="textWrapping"/>
      </w:r>
      <w:r>
        <w:t xml:space="preserve">    第三人申明的保密事项和期限：  永久  。</w:t>
      </w:r>
    </w:p>
    <w:p w14:paraId="3074D875">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824" w:name="_Toc13106"/>
      <w:bookmarkStart w:id="825" w:name="_Toc50456211"/>
      <w:r>
        <w:t>8.4联络</w:t>
      </w:r>
      <w:bookmarkEnd w:id="824"/>
      <w:bookmarkEnd w:id="825"/>
    </w:p>
    <w:p w14:paraId="0DA0CBE3">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8.4.1任何一方与合同有关的通知、指示、要求、决定等，均应在  五  日内送达对方指定的接收人和送达地点。</w:t>
      </w:r>
    </w:p>
    <w:p w14:paraId="6CBA6C99">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 xml:space="preserve">8.4.2委托人指定的送达接收人： </w:t>
      </w:r>
      <w:r>
        <w:rPr>
          <w:rFonts w:hint="eastAsia"/>
          <w:lang w:val="en-US" w:eastAsia="zh-CN"/>
        </w:rPr>
        <w:t xml:space="preserve"> </w:t>
      </w:r>
      <w:r>
        <w:t xml:space="preserve">   ，送达地点： 西南石油大学，电子邮箱：     。</w:t>
      </w:r>
    </w:p>
    <w:p w14:paraId="46E51F12">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 xml:space="preserve">咨询人指定的送达接收人：  </w:t>
      </w:r>
      <w:r>
        <w:rPr>
          <w:rFonts w:hint="eastAsia"/>
          <w:lang w:val="en-US" w:eastAsia="zh-CN"/>
        </w:rPr>
        <w:t xml:space="preserve">  </w:t>
      </w:r>
      <w:r>
        <w:t xml:space="preserve">  ，送达地点：  </w:t>
      </w:r>
      <w:r>
        <w:rPr>
          <w:rFonts w:hint="eastAsia"/>
          <w:lang w:val="en-US" w:eastAsia="zh-CN"/>
        </w:rPr>
        <w:t xml:space="preserve">   </w:t>
      </w:r>
      <w:r>
        <w:t xml:space="preserve">  ，电子邮箱：  </w:t>
      </w:r>
      <w:r>
        <w:rPr>
          <w:rFonts w:hint="eastAsia"/>
          <w:lang w:val="en-US" w:eastAsia="zh-CN"/>
        </w:rPr>
        <w:t xml:space="preserve">   </w:t>
      </w:r>
      <w:r>
        <w:t xml:space="preserve"> 。</w:t>
      </w:r>
    </w:p>
    <w:p w14:paraId="5EE5C82F">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bookmarkStart w:id="826" w:name="_Toc50456212"/>
      <w:bookmarkStart w:id="827" w:name="_Toc419045124"/>
      <w:bookmarkStart w:id="828" w:name="_Toc2783"/>
      <w:r>
        <w:t>8.5知识产权</w:t>
      </w:r>
      <w:bookmarkEnd w:id="826"/>
      <w:bookmarkEnd w:id="827"/>
    </w:p>
    <w:bookmarkEnd w:id="828"/>
    <w:p w14:paraId="303D9A54">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委托人提供给咨询人的图纸、委托人为实施工程自行编制或委托编制的技术规范以及反映委托人要求的或其他类似性质文件的著作权属于委托人所有。</w:t>
      </w:r>
    </w:p>
    <w:p w14:paraId="46564788">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咨询人为履行本合同约定而编制的成果文件，其著作权属于委托人所有。</w:t>
      </w:r>
    </w:p>
    <w:p w14:paraId="7702FD07">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双方将履行本合同形成的有关成果文件用于企业宣传、申报奖项以及接受上级主管部门的检查须遵守以下约定：</w:t>
      </w:r>
      <w:bookmarkStart w:id="829" w:name="_Toc419045125"/>
      <w:r>
        <w:t xml:space="preserve">  需报经委托人批准  。</w:t>
      </w:r>
    </w:p>
    <w:p w14:paraId="48B1E077">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b/>
          <w:bCs/>
        </w:rPr>
      </w:pPr>
      <w:bookmarkStart w:id="830" w:name="_Toc50456213"/>
      <w:bookmarkStart w:id="831" w:name="_Toc30109"/>
      <w:r>
        <w:rPr>
          <w:b/>
          <w:bCs/>
        </w:rPr>
        <w:t>9.</w:t>
      </w:r>
      <w:r>
        <w:rPr>
          <w:rFonts w:hint="eastAsia"/>
          <w:b/>
          <w:bCs/>
          <w:lang w:val="en-US" w:eastAsia="zh-CN"/>
        </w:rPr>
        <w:t>其他</w:t>
      </w:r>
      <w:r>
        <w:rPr>
          <w:b/>
          <w:bCs/>
        </w:rPr>
        <w:t>条款</w:t>
      </w:r>
      <w:bookmarkEnd w:id="829"/>
      <w:bookmarkEnd w:id="830"/>
      <w:bookmarkEnd w:id="831"/>
    </w:p>
    <w:p w14:paraId="6AFD16DC">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t>1</w:t>
      </w:r>
      <w:r>
        <w:rPr>
          <w:rFonts w:hint="eastAsia"/>
          <w:lang w:val="en-US" w:eastAsia="zh-CN"/>
        </w:rPr>
        <w:t>.</w:t>
      </w:r>
      <w:r>
        <w:t>咨询人必须遵照国家</w:t>
      </w:r>
      <w:r>
        <w:rPr>
          <w:rFonts w:hint="eastAsia"/>
          <w:lang w:eastAsia="zh-CN"/>
        </w:rPr>
        <w:t>、</w:t>
      </w:r>
      <w:r>
        <w:rPr>
          <w:rFonts w:hint="eastAsia"/>
          <w:lang w:val="en-US" w:eastAsia="zh-CN"/>
        </w:rPr>
        <w:t>省、市</w:t>
      </w:r>
      <w:r>
        <w:t>有关法律法规、技术标准、行业准则</w:t>
      </w:r>
      <w:r>
        <w:rPr>
          <w:rFonts w:hint="eastAsia"/>
          <w:lang w:val="en-US" w:eastAsia="zh-CN"/>
        </w:rPr>
        <w:t>等相关</w:t>
      </w:r>
      <w:r>
        <w:t>规定，认真履行所委托的工作职责，接受学校的管理和监督，做到独立、公平、公正执业，对审计结论、咨询意见承担经济和法律责任。</w:t>
      </w:r>
    </w:p>
    <w:p w14:paraId="0FAEB0CA">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lang w:val="en-US" w:eastAsia="zh-CN"/>
        </w:rPr>
        <w:t>2.</w:t>
      </w:r>
      <w:r>
        <w:t>咨询人应当遵守职业道德和审计纪律，对委托方负责。除委托方安排外，不得私自与</w:t>
      </w:r>
      <w:r>
        <w:rPr>
          <w:rFonts w:hint="eastAsia"/>
          <w:lang w:val="en-US" w:eastAsia="zh-CN"/>
        </w:rPr>
        <w:t>被审计单位、</w:t>
      </w:r>
      <w:r>
        <w:t>施工方接触；不得接受</w:t>
      </w:r>
      <w:r>
        <w:rPr>
          <w:rFonts w:hint="eastAsia"/>
          <w:lang w:val="en-US" w:eastAsia="zh-CN"/>
        </w:rPr>
        <w:t>被审计单位、</w:t>
      </w:r>
      <w:r>
        <w:t>施工方的宴请和财物。审计中发现的问题和审计结论只能向委托方审计处报告，未经委托方同意，不得告知第三方。</w:t>
      </w:r>
    </w:p>
    <w:p w14:paraId="3BC0EBC8">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lang w:val="en-US" w:eastAsia="zh-CN"/>
        </w:rPr>
        <w:t>3.审计过程中发现的问题和审核结论只能向委托方审计处报告，未经委托方同意，不得告知第三方。咨询人负有对委托事项及咨询人提供的服务成果的保密义务，并采取必要的保密措施，不得向任何第三人泄露或者扩散，无论这种泄露或扩散是故意或者过失。若因咨询人的原因导致其服务成果扩散给第三人，咨询人应承担违约责任并给付委托人咨询服务费总额20%的违约金，并赔偿因此给委托人造成的损失。</w:t>
      </w:r>
    </w:p>
    <w:p w14:paraId="73222C8C">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lang w:val="en-US" w:eastAsia="zh-CN"/>
        </w:rPr>
        <w:t>4.</w:t>
      </w:r>
      <w:r>
        <w:t>供应商在服务过程中，若对工作不积极、不认真，不服从学校的各项工作安排等，从而造成服务、工作质量达不到要求的，学校有权在其审计费中扣除相应价款，作为违约补偿。若给学校造成损失的，供应商应当承担赔偿责任，学校将追究供应商相应法律责任。后果严重构成犯罪的，移交司法机关进行处理。</w:t>
      </w:r>
    </w:p>
    <w:p w14:paraId="0113EF59">
      <w:pPr>
        <w:keepNext w:val="0"/>
        <w:keepLines w:val="0"/>
        <w:pageBreakBefore w:val="0"/>
        <w:widowControl w:val="0"/>
        <w:kinsoku/>
        <w:wordWrap/>
        <w:overflowPunct/>
        <w:topLinePunct w:val="0"/>
        <w:autoSpaceDE/>
        <w:autoSpaceDN/>
        <w:bidi w:val="0"/>
        <w:adjustRightInd w:val="0"/>
        <w:snapToGrid w:val="0"/>
        <w:ind w:firstLine="480" w:firstLineChars="200"/>
        <w:textAlignment w:val="auto"/>
      </w:pPr>
      <w:r>
        <w:rPr>
          <w:rFonts w:hint="eastAsia"/>
          <w:lang w:val="en-US" w:eastAsia="zh-CN"/>
        </w:rPr>
        <w:t>5.</w:t>
      </w:r>
      <w:r>
        <w:t>咨询工作结束时，咨询人应当根据交接清单完整交还委托人提供的所有资料。若有遗失或损坏，咨询人应负担相应赔偿责任及法律责任。同时，图纸每缺一张扣审计费100元，其它资料每缺一页扣审计费50元。</w:t>
      </w:r>
    </w:p>
    <w:p w14:paraId="74D1DFC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val="en-US" w:eastAsia="zh-CN"/>
        </w:rPr>
        <w:t>6.</w:t>
      </w:r>
      <w:r>
        <w:t>咨询人应制定完善的三级复核制度，在开展咨询工作时应严格执行该制度，</w:t>
      </w:r>
      <w:r>
        <w:rPr>
          <w:rFonts w:hint="eastAsia"/>
        </w:rPr>
        <w:t>对工作结论、结果的真实性、准确性、完整性、合法性、合规性负责。向学校出具的审计咨询意见或报告等成果文件，应当由其法定代表人审签，除加盖供应商单位公章、工程造价咨询企业执业印章外，还必须按要求加盖参加咨询工作人员的执业(从业)资格印章。</w:t>
      </w:r>
    </w:p>
    <w:p w14:paraId="5711B155">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7.供应商必须遵照国家、省、市有关法律法规、技术标准、行业准则和有关政策的规定，认真履行工作职责，接受学校的管理和监督，做到独立、公平客观、公正执业，对审计咨询意见或报告承担经济和法律责任。</w:t>
      </w:r>
    </w:p>
    <w:p w14:paraId="43D0BF0F">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8.供应商开展的跟踪审计工作应规范有序，有利于控制建设工程项目造价和规范建设工程管理行为，并有利于各司其职和协作、配合。</w:t>
      </w:r>
    </w:p>
    <w:p w14:paraId="1E196D8E">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9.供应商应认真做好与建设单位、设计单位等相关单位的沟通与协调工作，采纳对履行工作职责有益的建议，不断优化工作方案和改进工作。</w:t>
      </w:r>
    </w:p>
    <w:p w14:paraId="36FE085B">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10.供应商必须按照建设工程项目跟踪审计任务的要求，配备项目组成员。</w:t>
      </w:r>
    </w:p>
    <w:p w14:paraId="751D2B7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11.供应商应根据本建设工程项目施工进度情况，充分考虑实施跟踪审计任务的需要，派出承诺的项目组成员驻场履行职责。</w:t>
      </w:r>
    </w:p>
    <w:p w14:paraId="4D83BAD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(1)项目组成员应参加学校审计处召开的协调会议，解决跟踪审计过程中的重大问题；接受学校的监督和评审，对评审后发现的问题及时整改，并将整改情况向学校审计处书面报告。</w:t>
      </w:r>
    </w:p>
    <w:p w14:paraId="4CC827C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(2)项目组成员应参加学校建设管理单位召开的联席、协调等会议，了解情况，提出审计咨询意见建议。</w:t>
      </w:r>
    </w:p>
    <w:p w14:paraId="55B4A655">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(3)项目组成员应按照本建设工程项目跟踪审计任务的要求，随时查勘现场，了解施工情况，及时提交审计咨询意见或报告，并及时处理跟踪审计中的问题。</w:t>
      </w:r>
    </w:p>
    <w:p w14:paraId="144B2874">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(4)每周一向学校审计处提交1份上一周的手续完善的跟踪审计周报。</w:t>
      </w:r>
    </w:p>
    <w:p w14:paraId="6A588C51">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(5)节点工程完工后及时向学校审计处提交二份手续完善的《工程造价控制与工程管理评价报告》。报告内容包括但不限于：造价变动测算情况，实际工程量与清单工程量差异，工程管理是否按相关制度规定执行，是否按图施工，进场材料设备是否符合要求，隐蔽工程是否真实发生等。</w:t>
      </w:r>
    </w:p>
    <w:p w14:paraId="46F732E4">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(6)对在跟踪审计中发现的工程造价重大变化等问题，必须及时向学校审计处提交二份手续完善的处理建议和审核报告。</w:t>
      </w:r>
    </w:p>
    <w:p w14:paraId="406A8137">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pPr>
      <w:r>
        <w:rPr>
          <w:rFonts w:hint="eastAsia"/>
          <w:lang w:val="en-US" w:eastAsia="zh-CN"/>
        </w:rPr>
        <w:t>(7)项目组成员应认真填写审计工作底稿、咨询和审核意见以及审计处理建议等过程审计资料，不得遗漏、虚构、隐匿、毁弃，更不得随意修改。供应商及其项目组成员应对上述审计工作资料的真实性、完整性、准确性负责。</w:t>
      </w:r>
    </w:p>
    <w:p w14:paraId="16639765">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lang w:val="en-US" w:eastAsia="zh-CN"/>
        </w:rPr>
        <w:sectPr>
          <w:pgSz w:w="11906" w:h="16838"/>
          <w:pgMar w:top="1440" w:right="1800" w:bottom="1440" w:left="1800" w:header="851" w:footer="992" w:gutter="0"/>
          <w:pgNumType w:fmt="decimal"/>
          <w:cols w:space="0" w:num="1"/>
          <w:titlePg/>
          <w:docGrid w:linePitch="312" w:charSpace="0"/>
        </w:sectPr>
      </w:pPr>
      <w:r>
        <w:rPr>
          <w:rFonts w:hint="eastAsia"/>
          <w:lang w:val="en-US" w:eastAsia="zh-CN"/>
        </w:rPr>
        <w:t>12.委托人按照《跟踪审计人员考核管理办法》对咨询人进行考核。</w:t>
      </w:r>
    </w:p>
    <w:p w14:paraId="4A351F6E">
      <w:pPr>
        <w:bidi w:val="0"/>
        <w:jc w:val="center"/>
        <w:rPr>
          <w:rFonts w:hint="eastAsia"/>
          <w:b/>
          <w:bCs/>
          <w:sz w:val="28"/>
          <w:szCs w:val="28"/>
          <w:lang w:eastAsia="zh-CN"/>
        </w:rPr>
      </w:pPr>
      <w:r>
        <w:rPr>
          <w:rFonts w:hint="eastAsia"/>
          <w:b/>
          <w:bCs/>
          <w:sz w:val="28"/>
          <w:szCs w:val="28"/>
          <w:lang w:eastAsia="zh-CN"/>
        </w:rPr>
        <w:t>《西南石油大学四川省天然气产业产教深度融合综合示范基地</w:t>
      </w:r>
    </w:p>
    <w:p w14:paraId="06ADB3FC">
      <w:pPr>
        <w:bidi w:val="0"/>
        <w:jc w:val="center"/>
        <w:rPr>
          <w:rFonts w:hint="eastAsia" w:eastAsia="宋体"/>
          <w:b/>
          <w:bCs/>
          <w:sz w:val="28"/>
          <w:szCs w:val="28"/>
          <w:lang w:eastAsia="zh-CN"/>
        </w:rPr>
      </w:pPr>
      <w:r>
        <w:rPr>
          <w:rFonts w:hint="eastAsia"/>
          <w:b/>
          <w:bCs/>
          <w:sz w:val="28"/>
          <w:szCs w:val="28"/>
        </w:rPr>
        <w:t>跟踪审计人员考核管理办法</w:t>
      </w:r>
      <w:r>
        <w:rPr>
          <w:rFonts w:hint="eastAsia"/>
          <w:b/>
          <w:bCs/>
          <w:sz w:val="28"/>
          <w:szCs w:val="28"/>
          <w:lang w:eastAsia="zh-CN"/>
        </w:rPr>
        <w:t>》</w:t>
      </w:r>
    </w:p>
    <w:p w14:paraId="0417B088">
      <w:pPr>
        <w:bidi w:val="0"/>
        <w:rPr>
          <w:rFonts w:hint="eastAsia"/>
        </w:rPr>
      </w:pPr>
    </w:p>
    <w:p w14:paraId="1398C517">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rPr>
      </w:pPr>
      <w:r>
        <w:rPr>
          <w:rFonts w:hint="eastAsia"/>
          <w:b/>
          <w:bCs/>
        </w:rPr>
        <w:t>一、考核原则</w:t>
      </w:r>
    </w:p>
    <w:p w14:paraId="52EF0E03">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按照跟踪审计合同规定，咨询人发生下述行为时属于违约，将处以违约金，被处违约金的额度将作为委托人评比各咨询人业绩的主要依据。被处违约金在工程竣工验收合格后，委托人将根据跟踪审计合同规定的工程造价控制及其他工作完成情况，酌情返还其违约金。</w:t>
      </w:r>
    </w:p>
    <w:p w14:paraId="574A2945">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rPr>
      </w:pPr>
      <w:r>
        <w:rPr>
          <w:rFonts w:hint="eastAsia"/>
          <w:b/>
          <w:bCs/>
        </w:rPr>
        <w:t>二、考核办法</w:t>
      </w:r>
    </w:p>
    <w:p w14:paraId="46CE9F74">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按照跟踪审计合同规定，通过现场管理人员及监理单位的投诉和会议参加情况等内容对咨询人进行考核，考核所处违约金在跟踪审计费中兑现。</w:t>
      </w:r>
    </w:p>
    <w:p w14:paraId="60C174BB">
      <w:pPr>
        <w:keepNext w:val="0"/>
        <w:keepLines w:val="0"/>
        <w:pageBreakBefore w:val="0"/>
        <w:widowControl w:val="0"/>
        <w:kinsoku/>
        <w:wordWrap/>
        <w:overflowPunct/>
        <w:topLinePunct w:val="0"/>
        <w:autoSpaceDE/>
        <w:autoSpaceDN/>
        <w:bidi w:val="0"/>
        <w:adjustRightInd w:val="0"/>
        <w:snapToGrid w:val="0"/>
        <w:ind w:firstLine="482" w:firstLineChars="200"/>
        <w:textAlignment w:val="auto"/>
        <w:rPr>
          <w:rFonts w:hint="eastAsia"/>
          <w:b/>
          <w:bCs/>
        </w:rPr>
      </w:pPr>
      <w:r>
        <w:rPr>
          <w:rFonts w:hint="eastAsia"/>
          <w:b/>
          <w:bCs/>
        </w:rPr>
        <w:t>三、考核主要内容及处违约金标准</w:t>
      </w:r>
    </w:p>
    <w:p w14:paraId="7CD96A0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一</w:t>
      </w:r>
      <w:r>
        <w:rPr>
          <w:rFonts w:hint="eastAsia"/>
          <w:lang w:eastAsia="zh-CN"/>
        </w:rPr>
        <w:t>)</w:t>
      </w:r>
      <w:r>
        <w:rPr>
          <w:rFonts w:hint="eastAsia"/>
        </w:rPr>
        <w:t>项目组织机构</w:t>
      </w:r>
    </w:p>
    <w:p w14:paraId="693FD20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1.召开各种与跟踪审计有关的会议，相关审计人员迟到30分钟或早退30分钟以上，处违约金50元／人·次。</w:t>
      </w:r>
    </w:p>
    <w:p w14:paraId="53E69D2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2.项目负责人无故缺席有关会议，处违约金200元／次，其他审计人员无故缺席会议，处违约金100元／人·次。</w:t>
      </w:r>
    </w:p>
    <w:p w14:paraId="4C043B2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3.未经委托人同意，审计人员擅离岗位，或审计人员的出勤率较低</w:t>
      </w:r>
      <w:r>
        <w:rPr>
          <w:rFonts w:hint="eastAsia"/>
          <w:lang w:eastAsia="zh-CN"/>
        </w:rPr>
        <w:t>(</w:t>
      </w:r>
      <w:r>
        <w:rPr>
          <w:rFonts w:hint="eastAsia"/>
        </w:rPr>
        <w:t>委托人对审计人员进行考勤，规定项目负责人每周出勤天数不少于</w:t>
      </w:r>
      <w:r>
        <w:rPr>
          <w:rFonts w:hint="eastAsia"/>
          <w:lang w:val="en-US" w:eastAsia="zh-CN"/>
        </w:rPr>
        <w:t>1</w:t>
      </w:r>
      <w:r>
        <w:rPr>
          <w:rFonts w:hint="eastAsia"/>
        </w:rPr>
        <w:t>天，</w:t>
      </w:r>
      <w:r>
        <w:rPr>
          <w:rFonts w:hint="eastAsia"/>
          <w:lang w:val="en-US" w:eastAsia="zh-CN"/>
        </w:rPr>
        <w:t>驻场</w:t>
      </w:r>
      <w:r>
        <w:rPr>
          <w:rFonts w:hint="eastAsia"/>
        </w:rPr>
        <w:t>审计人员每月出勤天数不少于</w:t>
      </w:r>
      <w:r>
        <w:rPr>
          <w:rFonts w:hint="eastAsia"/>
          <w:lang w:val="en-US" w:eastAsia="zh-CN"/>
        </w:rPr>
        <w:t>20</w:t>
      </w:r>
      <w:r>
        <w:rPr>
          <w:rFonts w:hint="eastAsia"/>
        </w:rPr>
        <w:t>天，所有人员每天在岗时间不得少于6小时</w:t>
      </w:r>
      <w:r>
        <w:rPr>
          <w:rFonts w:hint="eastAsia"/>
          <w:lang w:eastAsia="zh-CN"/>
        </w:rPr>
        <w:t>)</w:t>
      </w:r>
      <w:r>
        <w:rPr>
          <w:rFonts w:hint="eastAsia"/>
        </w:rPr>
        <w:t>，将视情况处违约金100元/人·天。</w:t>
      </w:r>
    </w:p>
    <w:p w14:paraId="7E51879B">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4.若咨询人擅自更换合同规定的驻地审计人员，处以下违约金：</w:t>
      </w:r>
    </w:p>
    <w:p w14:paraId="4331F52B">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1</w:t>
      </w:r>
      <w:r>
        <w:rPr>
          <w:rFonts w:hint="eastAsia"/>
          <w:lang w:eastAsia="zh-CN"/>
        </w:rPr>
        <w:t>)</w:t>
      </w:r>
      <w:r>
        <w:rPr>
          <w:rFonts w:hint="eastAsia"/>
        </w:rPr>
        <w:t xml:space="preserve">擅自更换项目负责人和技术负责人           </w:t>
      </w:r>
      <w:r>
        <w:rPr>
          <w:rFonts w:hint="eastAsia"/>
          <w:lang w:val="en-US" w:eastAsia="zh-CN"/>
        </w:rPr>
        <w:t>1</w:t>
      </w:r>
      <w:r>
        <w:rPr>
          <w:rFonts w:hint="eastAsia"/>
        </w:rPr>
        <w:t>万元/人·次。</w:t>
      </w:r>
    </w:p>
    <w:p w14:paraId="6C309DDF">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2</w:t>
      </w:r>
      <w:r>
        <w:rPr>
          <w:rFonts w:hint="eastAsia"/>
          <w:lang w:eastAsia="zh-CN"/>
        </w:rPr>
        <w:t>)</w:t>
      </w:r>
      <w:r>
        <w:rPr>
          <w:rFonts w:hint="eastAsia"/>
        </w:rPr>
        <w:t xml:space="preserve">擅自更换各专业负责人                     </w:t>
      </w:r>
      <w:r>
        <w:rPr>
          <w:rFonts w:hint="eastAsia"/>
          <w:lang w:val="en-US" w:eastAsia="zh-CN"/>
        </w:rPr>
        <w:t>5000</w:t>
      </w:r>
      <w:r>
        <w:rPr>
          <w:rFonts w:hint="eastAsia"/>
        </w:rPr>
        <w:t>元/人·次。</w:t>
      </w:r>
    </w:p>
    <w:p w14:paraId="26F719C7">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3</w:t>
      </w:r>
      <w:r>
        <w:rPr>
          <w:rFonts w:hint="eastAsia"/>
          <w:lang w:eastAsia="zh-CN"/>
        </w:rPr>
        <w:t>)</w:t>
      </w:r>
      <w:r>
        <w:rPr>
          <w:rFonts w:hint="eastAsia"/>
        </w:rPr>
        <w:t xml:space="preserve">擅自更换现场审计人员                     </w:t>
      </w:r>
      <w:r>
        <w:rPr>
          <w:rFonts w:hint="eastAsia"/>
          <w:lang w:val="en-US" w:eastAsia="zh-CN"/>
        </w:rPr>
        <w:t>2000</w:t>
      </w:r>
      <w:r>
        <w:rPr>
          <w:rFonts w:hint="eastAsia"/>
        </w:rPr>
        <w:t>元/人·次。</w:t>
      </w:r>
    </w:p>
    <w:p w14:paraId="2F6D76B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5.合同履行期间，咨询人以审计人员岗位变动或离职等特殊原因提出书面换人申请，或审计人员不能胜任本职工作，而咨询人又不能按委托人要求及时更换，或有从事其他与跟踪审计工作相违背的活动，委托人有权书面要求咨询人进行更换或增派人员，同时处以下违约金：</w:t>
      </w:r>
    </w:p>
    <w:p w14:paraId="05DD7E8B">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1</w:t>
      </w:r>
      <w:r>
        <w:rPr>
          <w:rFonts w:hint="eastAsia"/>
          <w:lang w:eastAsia="zh-CN"/>
        </w:rPr>
        <w:t>)</w:t>
      </w:r>
      <w:r>
        <w:rPr>
          <w:rFonts w:hint="eastAsia"/>
        </w:rPr>
        <w:t xml:space="preserve">更换项目负责人和技术负责人               </w:t>
      </w:r>
      <w:r>
        <w:rPr>
          <w:rFonts w:hint="eastAsia"/>
          <w:lang w:val="en-US" w:eastAsia="zh-CN"/>
        </w:rPr>
        <w:t>1</w:t>
      </w:r>
      <w:r>
        <w:rPr>
          <w:rFonts w:hint="eastAsia"/>
        </w:rPr>
        <w:t>万元/人·次。</w:t>
      </w:r>
    </w:p>
    <w:p w14:paraId="2ECB84AF">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2</w:t>
      </w:r>
      <w:r>
        <w:rPr>
          <w:rFonts w:hint="eastAsia"/>
          <w:lang w:eastAsia="zh-CN"/>
        </w:rPr>
        <w:t>)</w:t>
      </w:r>
      <w:r>
        <w:rPr>
          <w:rFonts w:hint="eastAsia"/>
        </w:rPr>
        <w:t xml:space="preserve">更换各专业负责人                         </w:t>
      </w:r>
      <w:r>
        <w:rPr>
          <w:rFonts w:hint="eastAsia"/>
          <w:lang w:val="en-US" w:eastAsia="zh-CN"/>
        </w:rPr>
        <w:t>5000</w:t>
      </w:r>
      <w:r>
        <w:rPr>
          <w:rFonts w:hint="eastAsia"/>
        </w:rPr>
        <w:t>元/人·次。</w:t>
      </w:r>
    </w:p>
    <w:p w14:paraId="2D121C6B">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3</w:t>
      </w:r>
      <w:r>
        <w:rPr>
          <w:rFonts w:hint="eastAsia"/>
          <w:lang w:eastAsia="zh-CN"/>
        </w:rPr>
        <w:t>)</w:t>
      </w:r>
      <w:r>
        <w:rPr>
          <w:rFonts w:hint="eastAsia"/>
        </w:rPr>
        <w:t xml:space="preserve">更换现场审计人员                         </w:t>
      </w:r>
      <w:r>
        <w:rPr>
          <w:rFonts w:hint="eastAsia"/>
          <w:lang w:val="en-US" w:eastAsia="zh-CN"/>
        </w:rPr>
        <w:t>2000</w:t>
      </w:r>
      <w:r>
        <w:rPr>
          <w:rFonts w:hint="eastAsia"/>
        </w:rPr>
        <w:t>元/人·次。</w:t>
      </w:r>
    </w:p>
    <w:p w14:paraId="4792336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上述因更换或清退补充的审计人员须经委托人认可后方能上岗。</w:t>
      </w:r>
    </w:p>
    <w:p w14:paraId="27649501">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6.咨询人违反跟踪审计合同的规定，将跟踪审计咨询服务的任何部分予以分包、转包，或咨询人拒绝按照委托人指令更换委托人认为不能胜任该项工作的人员,或其审计人员</w:t>
      </w:r>
      <w:r>
        <w:rPr>
          <w:rFonts w:hint="eastAsia"/>
          <w:lang w:eastAsia="zh-CN"/>
        </w:rPr>
        <w:t>(</w:t>
      </w:r>
      <w:r>
        <w:rPr>
          <w:rFonts w:hint="eastAsia"/>
        </w:rPr>
        <w:t>项目负责人、技术负责人和各专业负责人)经过2次以上更换仍然达不到委托人的要求,或发生其他严重违约行为，委托人将认为咨询人无能力按本合同的规定继续履行本合同项下的跟踪审计咨询服务工作，委托人在向咨询人发出书面通知的14天之后可以单方面终止本跟踪审计合同，并视情况拒付相关跟踪审计费、没收咨询人的全部履约担保。</w:t>
      </w:r>
    </w:p>
    <w:p w14:paraId="118E502C">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二</w:t>
      </w:r>
      <w:r>
        <w:rPr>
          <w:rFonts w:hint="eastAsia"/>
          <w:lang w:eastAsia="zh-CN"/>
        </w:rPr>
        <w:t>)</w:t>
      </w:r>
      <w:r>
        <w:rPr>
          <w:rFonts w:hint="eastAsia"/>
        </w:rPr>
        <w:t>项目质量控制</w:t>
      </w:r>
    </w:p>
    <w:p w14:paraId="1C12273F">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1.发现下列问题时，处违约金</w:t>
      </w:r>
      <w:r>
        <w:rPr>
          <w:rFonts w:hint="eastAsia"/>
          <w:lang w:val="en-US" w:eastAsia="zh-CN"/>
        </w:rPr>
        <w:t>2</w:t>
      </w:r>
      <w:r>
        <w:rPr>
          <w:rFonts w:hint="eastAsia"/>
        </w:rPr>
        <w:t>00元／次：</w:t>
      </w:r>
    </w:p>
    <w:p w14:paraId="3076A277">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1</w:t>
      </w:r>
      <w:r>
        <w:rPr>
          <w:rFonts w:hint="eastAsia"/>
          <w:lang w:eastAsia="zh-CN"/>
        </w:rPr>
        <w:t>)</w:t>
      </w:r>
      <w:r>
        <w:rPr>
          <w:rFonts w:hint="eastAsia"/>
        </w:rPr>
        <w:t>每周一</w:t>
      </w:r>
      <w:r>
        <w:rPr>
          <w:rFonts w:hint="eastAsia"/>
          <w:lang w:val="en-US" w:eastAsia="zh-CN"/>
        </w:rPr>
        <w:t>未</w:t>
      </w:r>
      <w:r>
        <w:rPr>
          <w:rFonts w:hint="eastAsia"/>
        </w:rPr>
        <w:t>向学校审计处提交1份上一周的手续完善的跟踪审计周报。</w:t>
      </w:r>
    </w:p>
    <w:p w14:paraId="5295DB2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2</w:t>
      </w:r>
      <w:r>
        <w:rPr>
          <w:rFonts w:hint="eastAsia"/>
          <w:lang w:eastAsia="zh-CN"/>
        </w:rPr>
        <w:t>)</w:t>
      </w:r>
      <w:r>
        <w:rPr>
          <w:rFonts w:hint="eastAsia"/>
        </w:rPr>
        <w:t>节点工程完工后7个有效工作日内未向学校审计处提交二份手续完善的《工程造价控制与工程管理评价报告》。</w:t>
      </w:r>
    </w:p>
    <w:p w14:paraId="3FF2F597">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3</w:t>
      </w:r>
      <w:r>
        <w:rPr>
          <w:rFonts w:hint="eastAsia"/>
          <w:lang w:eastAsia="zh-CN"/>
        </w:rPr>
        <w:t>)</w:t>
      </w:r>
      <w:r>
        <w:rPr>
          <w:rFonts w:hint="eastAsia"/>
        </w:rPr>
        <w:t>对在跟踪审计中发现的工程造价重大变化等问题，未及时向学校审计处提交二份手续完善的处理建议和审核报告。</w:t>
      </w:r>
    </w:p>
    <w:p w14:paraId="75CED87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2.发现下列问题时：</w:t>
      </w:r>
    </w:p>
    <w:p w14:paraId="221910D1">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1</w:t>
      </w:r>
      <w:r>
        <w:rPr>
          <w:rFonts w:hint="eastAsia"/>
          <w:lang w:eastAsia="zh-CN"/>
        </w:rPr>
        <w:t>)</w:t>
      </w:r>
      <w:r>
        <w:rPr>
          <w:rFonts w:hint="eastAsia"/>
        </w:rPr>
        <w:t>发现审计人员向施工承包人</w:t>
      </w:r>
      <w:r>
        <w:rPr>
          <w:rFonts w:hint="eastAsia"/>
          <w:lang w:eastAsia="zh-CN"/>
        </w:rPr>
        <w:t>、</w:t>
      </w:r>
      <w:r>
        <w:rPr>
          <w:rFonts w:hint="eastAsia"/>
          <w:lang w:val="en-US" w:eastAsia="zh-CN"/>
        </w:rPr>
        <w:t>被审计单位</w:t>
      </w:r>
      <w:r>
        <w:rPr>
          <w:rFonts w:hint="eastAsia"/>
        </w:rPr>
        <w:t>索贿或谋取私利，或在工作期间徇私舞弊，恶意串通办理签证等，处违约金5000元／次，给委托人造成损失的，应进行相应赔偿。</w:t>
      </w:r>
    </w:p>
    <w:p w14:paraId="0AB507F4">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2</w:t>
      </w:r>
      <w:r>
        <w:rPr>
          <w:rFonts w:hint="eastAsia"/>
          <w:lang w:eastAsia="zh-CN"/>
        </w:rPr>
        <w:t>)</w:t>
      </w:r>
      <w:r>
        <w:rPr>
          <w:rFonts w:hint="eastAsia"/>
        </w:rPr>
        <w:t>审计人员应常驻现场，委托人通知要求到现场的</w:t>
      </w:r>
      <w:r>
        <w:rPr>
          <w:rFonts w:hint="eastAsia"/>
          <w:lang w:eastAsia="zh-CN"/>
        </w:rPr>
        <w:t>(</w:t>
      </w:r>
      <w:r>
        <w:rPr>
          <w:rFonts w:hint="eastAsia"/>
        </w:rPr>
        <w:t>如隐蔽验收</w:t>
      </w:r>
      <w:r>
        <w:rPr>
          <w:rFonts w:hint="eastAsia"/>
          <w:lang w:eastAsia="zh-CN"/>
        </w:rPr>
        <w:t>、</w:t>
      </w:r>
      <w:r>
        <w:rPr>
          <w:rFonts w:hint="eastAsia"/>
          <w:lang w:val="en-US" w:eastAsia="zh-CN"/>
        </w:rPr>
        <w:t>收方等</w:t>
      </w:r>
      <w:r>
        <w:rPr>
          <w:rFonts w:hint="eastAsia"/>
          <w:lang w:eastAsia="zh-CN"/>
        </w:rPr>
        <w:t>)</w:t>
      </w:r>
      <w:r>
        <w:rPr>
          <w:rFonts w:hint="eastAsia"/>
        </w:rPr>
        <w:t>未</w:t>
      </w:r>
      <w:r>
        <w:rPr>
          <w:rFonts w:hint="eastAsia"/>
          <w:lang w:val="en-US" w:eastAsia="zh-CN"/>
        </w:rPr>
        <w:t>按时</w:t>
      </w:r>
      <w:r>
        <w:rPr>
          <w:rFonts w:hint="eastAsia"/>
        </w:rPr>
        <w:t>到场，处违约金</w:t>
      </w:r>
      <w:r>
        <w:rPr>
          <w:rFonts w:hint="eastAsia"/>
          <w:lang w:val="en-US" w:eastAsia="zh-CN"/>
        </w:rPr>
        <w:t>300</w:t>
      </w:r>
      <w:r>
        <w:rPr>
          <w:rFonts w:hint="eastAsia"/>
        </w:rPr>
        <w:t>元／次。</w:t>
      </w:r>
    </w:p>
    <w:p w14:paraId="3FD4B3CE">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三</w:t>
      </w:r>
      <w:r>
        <w:rPr>
          <w:rFonts w:hint="eastAsia"/>
          <w:lang w:eastAsia="zh-CN"/>
        </w:rPr>
        <w:t>)</w:t>
      </w:r>
      <w:r>
        <w:rPr>
          <w:rFonts w:hint="eastAsia"/>
        </w:rPr>
        <w:t>项目的进度控制</w:t>
      </w:r>
    </w:p>
    <w:p w14:paraId="461BA14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审计人员不及时或未按要求审批进度计划款及审批后的进度款不合理，第一次发现时，提出警告，当出现两次以上</w:t>
      </w:r>
      <w:r>
        <w:rPr>
          <w:rFonts w:hint="eastAsia"/>
          <w:lang w:eastAsia="zh-CN"/>
        </w:rPr>
        <w:t>(</w:t>
      </w:r>
      <w:r>
        <w:rPr>
          <w:rFonts w:hint="eastAsia"/>
        </w:rPr>
        <w:t>含两次</w:t>
      </w:r>
      <w:r>
        <w:rPr>
          <w:rFonts w:hint="eastAsia"/>
          <w:lang w:eastAsia="zh-CN"/>
        </w:rPr>
        <w:t>)</w:t>
      </w:r>
      <w:r>
        <w:rPr>
          <w:rFonts w:hint="eastAsia"/>
        </w:rPr>
        <w:t>时，处违约金1000元／次。</w:t>
      </w:r>
    </w:p>
    <w:p w14:paraId="5853B832">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四</w:t>
      </w:r>
      <w:r>
        <w:rPr>
          <w:rFonts w:hint="eastAsia"/>
          <w:lang w:eastAsia="zh-CN"/>
        </w:rPr>
        <w:t>)</w:t>
      </w:r>
      <w:r>
        <w:rPr>
          <w:rFonts w:hint="eastAsia"/>
        </w:rPr>
        <w:t>项目投资控制</w:t>
      </w:r>
    </w:p>
    <w:p w14:paraId="0C7C5A91">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由于审计人员对中期</w:t>
      </w:r>
      <w:r>
        <w:rPr>
          <w:rFonts w:hint="eastAsia"/>
          <w:lang w:eastAsia="zh-CN"/>
        </w:rPr>
        <w:t>(</w:t>
      </w:r>
      <w:r>
        <w:rPr>
          <w:rFonts w:hint="eastAsia"/>
        </w:rPr>
        <w:t>含月进度</w:t>
      </w:r>
      <w:r>
        <w:rPr>
          <w:rFonts w:hint="eastAsia"/>
          <w:lang w:eastAsia="zh-CN"/>
        </w:rPr>
        <w:t>)</w:t>
      </w:r>
      <w:r>
        <w:rPr>
          <w:rFonts w:hint="eastAsia"/>
        </w:rPr>
        <w:t>计量的部位、范围或支付审核不详实</w:t>
      </w:r>
      <w:r>
        <w:rPr>
          <w:rFonts w:hint="eastAsia"/>
          <w:lang w:eastAsia="zh-CN"/>
        </w:rPr>
        <w:t>(</w:t>
      </w:r>
      <w:r>
        <w:rPr>
          <w:rFonts w:hint="eastAsia"/>
        </w:rPr>
        <w:t>特别是涉及调价材料部分的</w:t>
      </w:r>
      <w:r>
        <w:rPr>
          <w:rFonts w:hint="eastAsia"/>
          <w:lang w:eastAsia="zh-CN"/>
        </w:rPr>
        <w:t>)</w:t>
      </w:r>
      <w:r>
        <w:rPr>
          <w:rFonts w:hint="eastAsia"/>
        </w:rPr>
        <w:t>，处违约金1000元/次。</w:t>
      </w:r>
    </w:p>
    <w:p w14:paraId="2DDD039F">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五</w:t>
      </w:r>
      <w:r>
        <w:rPr>
          <w:rFonts w:hint="eastAsia"/>
          <w:lang w:eastAsia="zh-CN"/>
        </w:rPr>
        <w:t>)</w:t>
      </w:r>
      <w:r>
        <w:rPr>
          <w:rFonts w:hint="eastAsia"/>
        </w:rPr>
        <w:t>项目合同管理</w:t>
      </w:r>
    </w:p>
    <w:p w14:paraId="631ABBC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1.第一次发现下列问题时，提出警告，当出现两次以上</w:t>
      </w:r>
      <w:r>
        <w:rPr>
          <w:rFonts w:hint="eastAsia"/>
          <w:lang w:eastAsia="zh-CN"/>
        </w:rPr>
        <w:t>(</w:t>
      </w:r>
      <w:r>
        <w:rPr>
          <w:rFonts w:hint="eastAsia"/>
        </w:rPr>
        <w:t>含两次</w:t>
      </w:r>
      <w:r>
        <w:rPr>
          <w:rFonts w:hint="eastAsia"/>
          <w:lang w:eastAsia="zh-CN"/>
        </w:rPr>
        <w:t>)</w:t>
      </w:r>
      <w:r>
        <w:rPr>
          <w:rFonts w:hint="eastAsia"/>
        </w:rPr>
        <w:t>时，处违约金500元／次：</w:t>
      </w:r>
    </w:p>
    <w:p w14:paraId="573238C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1</w:t>
      </w:r>
      <w:r>
        <w:rPr>
          <w:rFonts w:hint="eastAsia"/>
          <w:lang w:eastAsia="zh-CN"/>
        </w:rPr>
        <w:t>)</w:t>
      </w:r>
      <w:r>
        <w:rPr>
          <w:rFonts w:hint="eastAsia"/>
        </w:rPr>
        <w:t>审计人员没有对</w:t>
      </w:r>
      <w:r>
        <w:rPr>
          <w:rFonts w:hint="eastAsia"/>
          <w:lang w:val="en-US" w:eastAsia="zh-CN"/>
        </w:rPr>
        <w:t>进度款、签证、综合单价等技术经济资料的</w:t>
      </w:r>
      <w:r>
        <w:rPr>
          <w:rFonts w:hint="eastAsia"/>
        </w:rPr>
        <w:t>真实性进行确认。</w:t>
      </w:r>
    </w:p>
    <w:p w14:paraId="5ECAA314">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2</w:t>
      </w:r>
      <w:r>
        <w:rPr>
          <w:rFonts w:hint="eastAsia"/>
          <w:lang w:eastAsia="zh-CN"/>
        </w:rPr>
        <w:t>)</w:t>
      </w:r>
      <w:r>
        <w:rPr>
          <w:rFonts w:hint="eastAsia"/>
        </w:rPr>
        <w:t>审计人员未对工程变更、签证意向提供确切情况的。</w:t>
      </w:r>
    </w:p>
    <w:p w14:paraId="1A5EE2C7">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2.审计人员对项目及材料认定、变更、索赔、延期等申请，未进行严格核实，不符合实际情况随意批复的，处违约金500元／次。</w:t>
      </w:r>
    </w:p>
    <w:p w14:paraId="056D4FF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六</w:t>
      </w:r>
      <w:r>
        <w:rPr>
          <w:rFonts w:hint="eastAsia"/>
          <w:lang w:eastAsia="zh-CN"/>
        </w:rPr>
        <w:t>)</w:t>
      </w:r>
      <w:r>
        <w:rPr>
          <w:rFonts w:hint="eastAsia"/>
        </w:rPr>
        <w:t>项目信息管理</w:t>
      </w:r>
    </w:p>
    <w:p w14:paraId="1F81B22B">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1.第一次发现下列问题时，提出警告，当出现两次以上</w:t>
      </w:r>
      <w:r>
        <w:rPr>
          <w:rFonts w:hint="eastAsia"/>
          <w:lang w:eastAsia="zh-CN"/>
        </w:rPr>
        <w:t>(</w:t>
      </w:r>
      <w:r>
        <w:rPr>
          <w:rFonts w:hint="eastAsia"/>
        </w:rPr>
        <w:t>含两次</w:t>
      </w:r>
      <w:r>
        <w:rPr>
          <w:rFonts w:hint="eastAsia"/>
          <w:lang w:eastAsia="zh-CN"/>
        </w:rPr>
        <w:t>)</w:t>
      </w:r>
      <w:r>
        <w:rPr>
          <w:rFonts w:hint="eastAsia"/>
        </w:rPr>
        <w:t>时，处违约金500元／次：</w:t>
      </w:r>
    </w:p>
    <w:p w14:paraId="410ABFAC">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rPr>
        <w:t>1</w:t>
      </w:r>
      <w:r>
        <w:rPr>
          <w:rFonts w:hint="eastAsia"/>
          <w:lang w:eastAsia="zh-CN"/>
        </w:rPr>
        <w:t>)</w:t>
      </w:r>
      <w:r>
        <w:rPr>
          <w:rFonts w:hint="eastAsia"/>
        </w:rPr>
        <w:t>驻地跟踪审计单位缺少独立、完整、真实的审计工作底稿、咨询和审核意见以及审计处理建议等过程审计资料及抽检验收资料的。</w:t>
      </w:r>
    </w:p>
    <w:p w14:paraId="553A02A9">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lang w:eastAsia="zh-CN"/>
        </w:rPr>
        <w:t>(</w:t>
      </w:r>
      <w:r>
        <w:rPr>
          <w:rFonts w:hint="eastAsia"/>
          <w:lang w:val="en-US" w:eastAsia="zh-CN"/>
        </w:rPr>
        <w:t>2</w:t>
      </w:r>
      <w:r>
        <w:rPr>
          <w:rFonts w:hint="eastAsia"/>
          <w:lang w:eastAsia="zh-CN"/>
        </w:rPr>
        <w:t>)</w:t>
      </w:r>
      <w:r>
        <w:rPr>
          <w:rFonts w:hint="eastAsia"/>
        </w:rPr>
        <w:t>在工程验收中，发现审计人员对发现的问题未记载、应签认的资料不全或未签认、签认资料无具体意见的。</w:t>
      </w:r>
    </w:p>
    <w:p w14:paraId="500C7BB1">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r>
        <w:rPr>
          <w:rFonts w:hint="eastAsia"/>
        </w:rPr>
        <w:t>四、本办法解释权归委托人审计处。</w:t>
      </w:r>
    </w:p>
    <w:p w14:paraId="59111CB4">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2EA7E34E">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4C2FB3F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4474161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3DC9EB2B">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29BDBC02">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1C272FC1">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51ABFC7D">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089D74C0">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001F6E3B">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0779C995">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5D22062C">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5C95326E">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7881C237">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365812FF">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27F2686C">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73062F94">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677D9EB2">
      <w:pPr>
        <w:jc w:val="center"/>
        <w:rPr>
          <w:rFonts w:hint="eastAsia" w:ascii="宋体" w:hAnsi="宋体"/>
          <w:b/>
          <w:bCs/>
          <w:sz w:val="36"/>
        </w:rPr>
      </w:pPr>
      <w:r>
        <w:rPr>
          <w:rFonts w:hint="eastAsia" w:ascii="宋体" w:hAnsi="宋体"/>
          <w:b/>
          <w:bCs/>
          <w:sz w:val="36"/>
        </w:rPr>
        <w:t>廉政协议</w:t>
      </w:r>
    </w:p>
    <w:p w14:paraId="3D64D439">
      <w:pPr>
        <w:spacing w:line="600" w:lineRule="exact"/>
        <w:rPr>
          <w:rFonts w:hint="eastAsia" w:ascii="宋体" w:hAnsi="宋体" w:eastAsia="宋体" w:cs="Arial"/>
          <w:sz w:val="28"/>
          <w:szCs w:val="28"/>
          <w:lang w:eastAsia="zh-CN"/>
        </w:rPr>
      </w:pPr>
      <w:r>
        <w:rPr>
          <w:rFonts w:hint="eastAsia" w:cs="Arial"/>
          <w:sz w:val="28"/>
          <w:szCs w:val="28"/>
          <w:lang w:eastAsia="zh-CN"/>
        </w:rPr>
        <w:t>(</w:t>
      </w:r>
      <w:r>
        <w:rPr>
          <w:rFonts w:hint="eastAsia" w:ascii="宋体" w:hAnsi="宋体" w:cs="Arial"/>
          <w:sz w:val="28"/>
          <w:szCs w:val="28"/>
        </w:rPr>
        <w:t>甲方</w:t>
      </w:r>
      <w:r>
        <w:rPr>
          <w:rFonts w:hint="eastAsia" w:cs="Arial"/>
          <w:sz w:val="28"/>
          <w:szCs w:val="28"/>
          <w:lang w:eastAsia="zh-CN"/>
        </w:rPr>
        <w:t>)</w:t>
      </w:r>
      <w:r>
        <w:rPr>
          <w:rFonts w:hint="eastAsia" w:ascii="宋体" w:hAnsi="宋体" w:cs="Arial"/>
          <w:sz w:val="28"/>
          <w:szCs w:val="28"/>
        </w:rPr>
        <w:t>：</w:t>
      </w:r>
      <w:r>
        <w:rPr>
          <w:rFonts w:hint="eastAsia" w:ascii="宋体" w:hAnsi="宋体" w:cs="Arial"/>
          <w:sz w:val="28"/>
          <w:szCs w:val="28"/>
          <w:u w:val="single"/>
        </w:rPr>
        <w:t>西南石油大学</w:t>
      </w:r>
      <w:r>
        <w:rPr>
          <w:rFonts w:hint="eastAsia" w:cs="Arial"/>
          <w:sz w:val="28"/>
          <w:szCs w:val="28"/>
          <w:lang w:eastAsia="zh-CN"/>
        </w:rPr>
        <w:t>(</w:t>
      </w:r>
      <w:r>
        <w:rPr>
          <w:rFonts w:hint="eastAsia" w:ascii="宋体" w:hAnsi="宋体" w:cs="Arial"/>
          <w:sz w:val="28"/>
          <w:szCs w:val="28"/>
        </w:rPr>
        <w:t>委托人</w:t>
      </w:r>
      <w:r>
        <w:rPr>
          <w:rFonts w:hint="eastAsia" w:cs="Arial"/>
          <w:sz w:val="28"/>
          <w:szCs w:val="28"/>
          <w:lang w:eastAsia="zh-CN"/>
        </w:rPr>
        <w:t>)</w:t>
      </w:r>
    </w:p>
    <w:p w14:paraId="0FF48E03">
      <w:pPr>
        <w:spacing w:line="600" w:lineRule="exact"/>
        <w:rPr>
          <w:rFonts w:hint="eastAsia" w:ascii="宋体" w:hAnsi="宋体" w:eastAsia="宋体" w:cs="Arial"/>
          <w:sz w:val="28"/>
          <w:szCs w:val="28"/>
          <w:u w:val="single"/>
          <w:lang w:eastAsia="zh-CN"/>
        </w:rPr>
      </w:pPr>
      <w:r>
        <w:rPr>
          <w:rFonts w:hint="eastAsia" w:cs="Arial"/>
          <w:sz w:val="28"/>
          <w:szCs w:val="28"/>
          <w:lang w:eastAsia="zh-CN"/>
        </w:rPr>
        <w:t>(</w:t>
      </w:r>
      <w:r>
        <w:rPr>
          <w:rFonts w:hint="eastAsia" w:ascii="宋体" w:hAnsi="宋体" w:cs="Arial"/>
          <w:sz w:val="28"/>
          <w:szCs w:val="28"/>
        </w:rPr>
        <w:t>乙方</w:t>
      </w:r>
      <w:r>
        <w:rPr>
          <w:rFonts w:hint="eastAsia" w:cs="Arial"/>
          <w:sz w:val="28"/>
          <w:szCs w:val="28"/>
          <w:lang w:eastAsia="zh-CN"/>
        </w:rPr>
        <w:t>)</w:t>
      </w:r>
      <w:r>
        <w:rPr>
          <w:rFonts w:hint="eastAsia" w:ascii="宋体" w:hAnsi="宋体" w:cs="Arial"/>
          <w:sz w:val="28"/>
          <w:szCs w:val="28"/>
        </w:rPr>
        <w:t>：</w:t>
      </w:r>
      <w:r>
        <w:rPr>
          <w:rFonts w:hint="eastAsia" w:ascii="宋体" w:hAnsi="宋体" w:cs="Arial"/>
          <w:sz w:val="28"/>
          <w:szCs w:val="28"/>
          <w:u w:val="single"/>
          <w:lang w:val="en-US" w:eastAsia="zh-CN"/>
        </w:rPr>
        <w:t xml:space="preserve">            </w:t>
      </w:r>
      <w:r>
        <w:rPr>
          <w:rFonts w:hint="eastAsia" w:cs="Arial"/>
          <w:sz w:val="28"/>
          <w:szCs w:val="28"/>
          <w:lang w:eastAsia="zh-CN"/>
        </w:rPr>
        <w:t>(</w:t>
      </w:r>
      <w:r>
        <w:rPr>
          <w:rFonts w:hint="eastAsia" w:ascii="宋体" w:hAnsi="宋体" w:cs="Arial"/>
          <w:sz w:val="28"/>
          <w:szCs w:val="28"/>
        </w:rPr>
        <w:t>咨询人</w:t>
      </w:r>
      <w:r>
        <w:rPr>
          <w:rFonts w:hint="eastAsia" w:cs="Arial"/>
          <w:sz w:val="28"/>
          <w:szCs w:val="28"/>
          <w:lang w:eastAsia="zh-CN"/>
        </w:rPr>
        <w:t>)</w:t>
      </w:r>
    </w:p>
    <w:p w14:paraId="7B5B79C3">
      <w:pPr>
        <w:spacing w:line="600" w:lineRule="exact"/>
        <w:ind w:firstLine="560" w:firstLineChars="200"/>
        <w:rPr>
          <w:rFonts w:hint="eastAsia" w:ascii="宋体" w:hAnsi="宋体"/>
          <w:sz w:val="28"/>
          <w:szCs w:val="28"/>
        </w:rPr>
      </w:pPr>
      <w:r>
        <w:rPr>
          <w:rFonts w:hint="eastAsia" w:ascii="宋体" w:hAnsi="宋体"/>
          <w:sz w:val="28"/>
          <w:szCs w:val="28"/>
        </w:rPr>
        <w:t>为认真贯彻中央加大反腐力度，推进廉政建设，预防和减少工程建设的经济犯罪，维护建筑市场的正常秩序，遏制“工程上马，干部下马”现象的发生，确保工程从征地到竣工工作中“工程优良，干部优秀”，甲乙双方自愿签定廉政协议:</w:t>
      </w:r>
    </w:p>
    <w:p w14:paraId="2C38822A">
      <w:pPr>
        <w:spacing w:line="600" w:lineRule="exact"/>
        <w:ind w:firstLine="560" w:firstLineChars="200"/>
        <w:rPr>
          <w:rFonts w:hint="eastAsia" w:ascii="宋体" w:hAnsi="宋体"/>
          <w:sz w:val="28"/>
          <w:szCs w:val="28"/>
        </w:rPr>
      </w:pPr>
      <w:r>
        <w:rPr>
          <w:rFonts w:hint="eastAsia" w:ascii="宋体" w:hAnsi="宋体"/>
          <w:sz w:val="28"/>
          <w:szCs w:val="28"/>
        </w:rPr>
        <w:t>一、自觉遵守国家法律法规，自觉接受甲方纪检监察部门和地方检察机关的监督。</w:t>
      </w:r>
    </w:p>
    <w:p w14:paraId="5F9D1714">
      <w:pPr>
        <w:spacing w:line="600" w:lineRule="exact"/>
        <w:ind w:firstLine="560" w:firstLineChars="200"/>
        <w:rPr>
          <w:rFonts w:hint="eastAsia" w:ascii="宋体" w:hAnsi="宋体"/>
          <w:sz w:val="28"/>
          <w:szCs w:val="28"/>
        </w:rPr>
      </w:pPr>
      <w:r>
        <w:rPr>
          <w:rFonts w:hint="eastAsia" w:ascii="宋体" w:hAnsi="宋体"/>
          <w:sz w:val="28"/>
          <w:szCs w:val="28"/>
        </w:rPr>
        <w:t>二、乙方不得以任何形式向甲方赠送各种礼品、礼金、有价证券和提供与业务有关的宴请和高档娱乐活动；也不得以任何形式向第三方</w:t>
      </w:r>
      <w:r>
        <w:rPr>
          <w:rFonts w:hint="eastAsia"/>
          <w:sz w:val="28"/>
          <w:szCs w:val="28"/>
          <w:lang w:eastAsia="zh-CN"/>
        </w:rPr>
        <w:t>(</w:t>
      </w:r>
      <w:r>
        <w:rPr>
          <w:rFonts w:hint="eastAsia" w:ascii="宋体" w:hAnsi="宋体"/>
          <w:sz w:val="28"/>
          <w:szCs w:val="28"/>
        </w:rPr>
        <w:t>如施工方</w:t>
      </w:r>
      <w:r>
        <w:rPr>
          <w:rFonts w:hint="eastAsia"/>
          <w:sz w:val="28"/>
          <w:szCs w:val="28"/>
          <w:lang w:eastAsia="zh-CN"/>
        </w:rPr>
        <w:t>、</w:t>
      </w:r>
      <w:r>
        <w:rPr>
          <w:rFonts w:hint="eastAsia"/>
          <w:sz w:val="28"/>
          <w:szCs w:val="28"/>
          <w:lang w:val="en-US" w:eastAsia="zh-CN"/>
        </w:rPr>
        <w:t>被审计单位</w:t>
      </w:r>
      <w:r>
        <w:rPr>
          <w:rFonts w:hint="eastAsia"/>
          <w:sz w:val="28"/>
          <w:szCs w:val="28"/>
          <w:lang w:eastAsia="zh-CN"/>
        </w:rPr>
        <w:t>)</w:t>
      </w:r>
      <w:r>
        <w:rPr>
          <w:rFonts w:hint="eastAsia" w:ascii="宋体" w:hAnsi="宋体"/>
          <w:sz w:val="28"/>
          <w:szCs w:val="28"/>
        </w:rPr>
        <w:t>索取各种礼品、礼金、有价证券。乙方人员不得以任何借口接受第三方</w:t>
      </w:r>
      <w:r>
        <w:rPr>
          <w:rFonts w:hint="eastAsia"/>
          <w:sz w:val="28"/>
          <w:szCs w:val="28"/>
          <w:lang w:eastAsia="zh-CN"/>
        </w:rPr>
        <w:t>(</w:t>
      </w:r>
      <w:r>
        <w:rPr>
          <w:rFonts w:hint="eastAsia" w:ascii="宋体" w:hAnsi="宋体"/>
          <w:sz w:val="28"/>
          <w:szCs w:val="28"/>
        </w:rPr>
        <w:t>如施工方</w:t>
      </w:r>
      <w:r>
        <w:rPr>
          <w:rFonts w:hint="eastAsia"/>
          <w:sz w:val="28"/>
          <w:szCs w:val="28"/>
          <w:lang w:eastAsia="zh-CN"/>
        </w:rPr>
        <w:t>、</w:t>
      </w:r>
      <w:r>
        <w:rPr>
          <w:rFonts w:hint="eastAsia"/>
          <w:sz w:val="28"/>
          <w:szCs w:val="28"/>
          <w:lang w:val="en-US" w:eastAsia="zh-CN"/>
        </w:rPr>
        <w:t>被审计单位</w:t>
      </w:r>
      <w:r>
        <w:rPr>
          <w:rFonts w:hint="eastAsia"/>
          <w:sz w:val="28"/>
          <w:szCs w:val="28"/>
          <w:lang w:eastAsia="zh-CN"/>
        </w:rPr>
        <w:t>)</w:t>
      </w:r>
      <w:r>
        <w:rPr>
          <w:rFonts w:hint="eastAsia" w:ascii="宋体" w:hAnsi="宋体"/>
          <w:sz w:val="28"/>
          <w:szCs w:val="28"/>
        </w:rPr>
        <w:t>的各种礼品、礼金、有价证券，以及各种宴请和高档娱乐活动。否则，将视情节对相关人员给予批评教育和经济处罚。</w:t>
      </w:r>
    </w:p>
    <w:p w14:paraId="4D6B68E7">
      <w:pPr>
        <w:spacing w:line="600" w:lineRule="exact"/>
        <w:ind w:firstLine="560" w:firstLineChars="200"/>
        <w:rPr>
          <w:rFonts w:hint="eastAsia" w:ascii="宋体" w:hAnsi="宋体"/>
          <w:sz w:val="28"/>
          <w:szCs w:val="28"/>
        </w:rPr>
      </w:pPr>
      <w:r>
        <w:rPr>
          <w:rFonts w:hint="eastAsia" w:ascii="宋体" w:hAnsi="宋体"/>
          <w:sz w:val="28"/>
          <w:szCs w:val="28"/>
        </w:rPr>
        <w:t>三、乙方在工程造价咨询过程中发生贿赂甲方或接受第三方</w:t>
      </w:r>
      <w:r>
        <w:rPr>
          <w:rFonts w:hint="eastAsia"/>
          <w:sz w:val="28"/>
          <w:szCs w:val="28"/>
          <w:lang w:eastAsia="zh-CN"/>
        </w:rPr>
        <w:t>(</w:t>
      </w:r>
      <w:r>
        <w:rPr>
          <w:rFonts w:hint="eastAsia" w:ascii="宋体" w:hAnsi="宋体"/>
          <w:sz w:val="28"/>
          <w:szCs w:val="28"/>
        </w:rPr>
        <w:t>如施工方</w:t>
      </w:r>
      <w:r>
        <w:rPr>
          <w:rFonts w:hint="eastAsia"/>
          <w:sz w:val="28"/>
          <w:szCs w:val="28"/>
          <w:lang w:eastAsia="zh-CN"/>
        </w:rPr>
        <w:t>)</w:t>
      </w:r>
      <w:r>
        <w:rPr>
          <w:rFonts w:hint="eastAsia" w:ascii="宋体" w:hAnsi="宋体"/>
          <w:sz w:val="28"/>
          <w:szCs w:val="28"/>
        </w:rPr>
        <w:t>贿赂的，被纪检、监察和地方检察机关立案查处的，甲方有权终止乙方的造价咨询合同，由此给甲方所造成的损失均由乙方承担，并承担由此发生的一切费用。</w:t>
      </w:r>
    </w:p>
    <w:p w14:paraId="585873EF">
      <w:pPr>
        <w:spacing w:line="600" w:lineRule="exact"/>
        <w:ind w:firstLine="560" w:firstLineChars="200"/>
        <w:rPr>
          <w:rFonts w:hint="eastAsia" w:ascii="宋体" w:hAnsi="宋体"/>
          <w:sz w:val="28"/>
          <w:szCs w:val="28"/>
        </w:rPr>
      </w:pPr>
      <w:r>
        <w:rPr>
          <w:rFonts w:hint="eastAsia" w:ascii="宋体" w:hAnsi="宋体"/>
          <w:sz w:val="28"/>
          <w:szCs w:val="28"/>
        </w:rPr>
        <w:t>四、若发现乙方存在以上行为，乙方将被列入甲方不受欢迎单位，根据实际情况扣减咨询服务费10%-30%的经济处罚；情节严重，给甲方造成重大经济损失的，直至扣减全部咨询服务费，并终止合同执行。</w:t>
      </w:r>
    </w:p>
    <w:p w14:paraId="7CF06900">
      <w:pPr>
        <w:spacing w:line="600" w:lineRule="exact"/>
        <w:ind w:firstLine="560" w:firstLineChars="200"/>
        <w:rPr>
          <w:rFonts w:hint="eastAsia" w:ascii="宋体" w:hAnsi="宋体"/>
          <w:sz w:val="28"/>
          <w:szCs w:val="28"/>
        </w:rPr>
      </w:pPr>
      <w:r>
        <w:rPr>
          <w:rFonts w:hint="eastAsia" w:ascii="宋体" w:hAnsi="宋体"/>
          <w:sz w:val="28"/>
          <w:szCs w:val="28"/>
        </w:rPr>
        <w:t>五、甲方人员向乙方索贿，经乙方检举被纪检、监察和检察机关立案查处的，乙方可获得索贿款额</w:t>
      </w:r>
      <w:r>
        <w:rPr>
          <w:rFonts w:ascii="宋体" w:hAnsi="宋体"/>
          <w:sz w:val="28"/>
          <w:szCs w:val="28"/>
        </w:rPr>
        <w:t>1-</w:t>
      </w:r>
      <w:r>
        <w:rPr>
          <w:rFonts w:hint="eastAsia" w:ascii="宋体" w:hAnsi="宋体"/>
          <w:sz w:val="28"/>
          <w:szCs w:val="28"/>
        </w:rPr>
        <w:t>2倍的检举奖励。</w:t>
      </w:r>
    </w:p>
    <w:p w14:paraId="36D173EC">
      <w:pPr>
        <w:spacing w:line="600" w:lineRule="exact"/>
        <w:ind w:firstLine="560" w:firstLineChars="200"/>
        <w:rPr>
          <w:rFonts w:hint="eastAsia" w:ascii="宋体" w:hAnsi="宋体"/>
          <w:sz w:val="28"/>
          <w:szCs w:val="28"/>
        </w:rPr>
      </w:pPr>
      <w:r>
        <w:rPr>
          <w:rFonts w:hint="eastAsia" w:ascii="宋体" w:hAnsi="宋体"/>
          <w:sz w:val="28"/>
          <w:szCs w:val="28"/>
        </w:rPr>
        <w:t>六、甲乙方双方严格遵守本协议规定条款，如任何一方违反本协议，另一方当事人应立即报告单位领导，同时向甲方纪检监察部门或当地检察、监督机关举报，对不主动报告腐败行为的有关人员，一经查实，视情节给与相应处分。</w:t>
      </w:r>
    </w:p>
    <w:p w14:paraId="3A7BFB9F">
      <w:pPr>
        <w:spacing w:line="600" w:lineRule="exact"/>
        <w:ind w:firstLine="560" w:firstLineChars="200"/>
        <w:rPr>
          <w:rFonts w:hint="eastAsia" w:ascii="宋体" w:hAnsi="宋体"/>
          <w:sz w:val="28"/>
          <w:szCs w:val="28"/>
        </w:rPr>
      </w:pPr>
      <w:r>
        <w:rPr>
          <w:rFonts w:hint="eastAsia" w:ascii="宋体" w:hAnsi="宋体"/>
          <w:sz w:val="28"/>
          <w:szCs w:val="28"/>
        </w:rPr>
        <w:t>七、此协议作为造价咨询合同附件与造价咨询合同同时签定，自愿接受纪检、监察和检察部门的监督。</w:t>
      </w:r>
    </w:p>
    <w:p w14:paraId="7F2C5BF7">
      <w:pPr>
        <w:spacing w:line="600" w:lineRule="exact"/>
        <w:rPr>
          <w:rFonts w:hint="eastAsia" w:ascii="宋体" w:hAnsi="宋体"/>
          <w:sz w:val="28"/>
          <w:szCs w:val="28"/>
        </w:rPr>
      </w:pPr>
    </w:p>
    <w:p w14:paraId="5FF2FC20">
      <w:pPr>
        <w:spacing w:line="600" w:lineRule="exact"/>
        <w:rPr>
          <w:rFonts w:hint="eastAsia" w:ascii="宋体" w:hAnsi="宋体"/>
          <w:sz w:val="28"/>
          <w:szCs w:val="28"/>
        </w:rPr>
      </w:pPr>
    </w:p>
    <w:p w14:paraId="2FB95A98">
      <w:pPr>
        <w:spacing w:line="600" w:lineRule="exact"/>
        <w:rPr>
          <w:rFonts w:hint="eastAsia" w:ascii="宋体" w:hAnsi="宋体"/>
          <w:sz w:val="28"/>
          <w:szCs w:val="28"/>
        </w:rPr>
      </w:pPr>
    </w:p>
    <w:p w14:paraId="2CD97C98">
      <w:pPr>
        <w:spacing w:line="600" w:lineRule="exact"/>
        <w:rPr>
          <w:rFonts w:hint="eastAsia" w:ascii="宋体" w:hAnsi="宋体"/>
          <w:sz w:val="28"/>
          <w:szCs w:val="28"/>
        </w:rPr>
      </w:pPr>
      <w:r>
        <w:rPr>
          <w:rFonts w:hint="eastAsia" w:ascii="宋体" w:hAnsi="宋体"/>
          <w:b/>
          <w:sz w:val="28"/>
          <w:szCs w:val="28"/>
        </w:rPr>
        <w:t>委托人</w:t>
      </w:r>
      <w:r>
        <w:rPr>
          <w:rFonts w:hint="eastAsia"/>
          <w:b/>
          <w:sz w:val="28"/>
          <w:szCs w:val="28"/>
          <w:lang w:eastAsia="zh-CN"/>
        </w:rPr>
        <w:t>(</w:t>
      </w:r>
      <w:r>
        <w:rPr>
          <w:rFonts w:hint="eastAsia" w:ascii="宋体" w:hAnsi="宋体"/>
          <w:b/>
          <w:sz w:val="28"/>
          <w:szCs w:val="28"/>
        </w:rPr>
        <w:t>盖章</w:t>
      </w:r>
      <w:r>
        <w:rPr>
          <w:rFonts w:hint="eastAsia"/>
          <w:b/>
          <w:sz w:val="28"/>
          <w:szCs w:val="28"/>
          <w:lang w:eastAsia="zh-CN"/>
        </w:rPr>
        <w:t>)</w:t>
      </w:r>
      <w:r>
        <w:rPr>
          <w:rFonts w:hint="eastAsia" w:ascii="宋体" w:hAnsi="宋体"/>
          <w:b/>
          <w:sz w:val="28"/>
          <w:szCs w:val="28"/>
        </w:rPr>
        <w:t>：</w:t>
      </w:r>
      <w:r>
        <w:rPr>
          <w:rFonts w:hint="eastAsia" w:ascii="宋体" w:hAnsi="宋体"/>
          <w:sz w:val="28"/>
          <w:szCs w:val="28"/>
        </w:rPr>
        <w:t xml:space="preserve">                  </w:t>
      </w:r>
      <w:r>
        <w:rPr>
          <w:rFonts w:hint="eastAsia" w:ascii="宋体" w:hAnsi="宋体"/>
          <w:b/>
          <w:sz w:val="28"/>
          <w:szCs w:val="28"/>
        </w:rPr>
        <w:t xml:space="preserve"> 咨询人</w:t>
      </w:r>
      <w:r>
        <w:rPr>
          <w:rFonts w:hint="eastAsia"/>
          <w:b/>
          <w:sz w:val="28"/>
          <w:szCs w:val="28"/>
          <w:lang w:eastAsia="zh-CN"/>
        </w:rPr>
        <w:t>(</w:t>
      </w:r>
      <w:r>
        <w:rPr>
          <w:rFonts w:hint="eastAsia" w:ascii="宋体" w:hAnsi="宋体"/>
          <w:b/>
          <w:sz w:val="28"/>
          <w:szCs w:val="28"/>
        </w:rPr>
        <w:t>盖章</w:t>
      </w:r>
      <w:r>
        <w:rPr>
          <w:rFonts w:hint="eastAsia"/>
          <w:b/>
          <w:sz w:val="28"/>
          <w:szCs w:val="28"/>
          <w:lang w:eastAsia="zh-CN"/>
        </w:rPr>
        <w:t>)</w:t>
      </w:r>
      <w:r>
        <w:rPr>
          <w:rFonts w:hint="eastAsia" w:ascii="宋体" w:hAnsi="宋体"/>
          <w:b/>
          <w:sz w:val="28"/>
          <w:szCs w:val="28"/>
        </w:rPr>
        <w:t>：</w:t>
      </w:r>
    </w:p>
    <w:p w14:paraId="0574D1ED">
      <w:pPr>
        <w:pStyle w:val="11"/>
        <w:tabs>
          <w:tab w:val="left" w:pos="1500"/>
          <w:tab w:val="clear" w:pos="0"/>
        </w:tabs>
        <w:spacing w:line="240" w:lineRule="auto"/>
        <w:rPr>
          <w:rFonts w:hint="eastAsia"/>
          <w:b/>
          <w:color w:val="000000"/>
        </w:rPr>
      </w:pPr>
    </w:p>
    <w:p w14:paraId="52B1024F">
      <w:pPr>
        <w:pStyle w:val="11"/>
        <w:tabs>
          <w:tab w:val="left" w:pos="1500"/>
          <w:tab w:val="clear" w:pos="0"/>
        </w:tabs>
        <w:spacing w:line="240" w:lineRule="auto"/>
        <w:rPr>
          <w:rFonts w:hint="eastAsia"/>
          <w:b/>
          <w:color w:val="000000"/>
        </w:rPr>
      </w:pPr>
    </w:p>
    <w:p w14:paraId="3A854AF9">
      <w:pPr>
        <w:pStyle w:val="11"/>
        <w:tabs>
          <w:tab w:val="left" w:pos="1500"/>
          <w:tab w:val="clear" w:pos="0"/>
        </w:tabs>
        <w:spacing w:line="240" w:lineRule="auto"/>
        <w:rPr>
          <w:rFonts w:hint="eastAsia"/>
          <w:b/>
          <w:color w:val="000000"/>
        </w:rPr>
      </w:pPr>
      <w:r>
        <w:rPr>
          <w:rFonts w:hint="eastAsia"/>
          <w:b/>
          <w:color w:val="000000"/>
        </w:rPr>
        <w:t>法定代表人                              法定代表人</w:t>
      </w:r>
    </w:p>
    <w:p w14:paraId="03AB8785">
      <w:pPr>
        <w:pStyle w:val="11"/>
        <w:tabs>
          <w:tab w:val="left" w:pos="1500"/>
          <w:tab w:val="clear" w:pos="0"/>
        </w:tabs>
        <w:spacing w:line="240" w:lineRule="auto"/>
        <w:rPr>
          <w:rFonts w:hint="eastAsia"/>
          <w:b/>
          <w:color w:val="000000"/>
        </w:rPr>
      </w:pPr>
      <w:r>
        <w:rPr>
          <w:rFonts w:hint="eastAsia"/>
          <w:b/>
          <w:color w:val="000000"/>
        </w:rPr>
        <w:t>或授权代表</w:t>
      </w:r>
      <w:r>
        <w:rPr>
          <w:rFonts w:hint="eastAsia"/>
          <w:b/>
          <w:color w:val="000000"/>
          <w:lang w:eastAsia="zh-CN"/>
        </w:rPr>
        <w:t>(</w:t>
      </w:r>
      <w:r>
        <w:rPr>
          <w:rFonts w:hint="eastAsia"/>
          <w:b/>
          <w:color w:val="000000"/>
        </w:rPr>
        <w:t>签字</w:t>
      </w:r>
      <w:r>
        <w:rPr>
          <w:rFonts w:hint="eastAsia"/>
          <w:b/>
          <w:color w:val="000000"/>
          <w:lang w:eastAsia="zh-CN"/>
        </w:rPr>
        <w:t>)</w:t>
      </w:r>
      <w:r>
        <w:rPr>
          <w:rFonts w:hint="eastAsia"/>
          <w:b/>
          <w:color w:val="000000"/>
        </w:rPr>
        <w:t>:                     或授权代表</w:t>
      </w:r>
      <w:r>
        <w:rPr>
          <w:rFonts w:hint="eastAsia"/>
          <w:b/>
          <w:color w:val="000000"/>
          <w:lang w:eastAsia="zh-CN"/>
        </w:rPr>
        <w:t>(</w:t>
      </w:r>
      <w:r>
        <w:rPr>
          <w:rFonts w:hint="eastAsia"/>
          <w:b/>
          <w:color w:val="000000"/>
        </w:rPr>
        <w:t>签字</w:t>
      </w:r>
      <w:r>
        <w:rPr>
          <w:rFonts w:hint="eastAsia"/>
          <w:b/>
          <w:color w:val="000000"/>
          <w:lang w:eastAsia="zh-CN"/>
        </w:rPr>
        <w:t>)</w:t>
      </w:r>
      <w:r>
        <w:rPr>
          <w:rFonts w:hint="eastAsia"/>
          <w:b/>
          <w:color w:val="000000"/>
        </w:rPr>
        <w:t>:</w:t>
      </w:r>
    </w:p>
    <w:p w14:paraId="5A1B6FBE">
      <w:pPr>
        <w:spacing w:line="600" w:lineRule="exact"/>
        <w:rPr>
          <w:rFonts w:hint="eastAsia" w:ascii="宋体" w:hAnsi="宋体"/>
          <w:b/>
          <w:sz w:val="28"/>
          <w:szCs w:val="28"/>
        </w:rPr>
      </w:pPr>
    </w:p>
    <w:p w14:paraId="189482D4">
      <w:pPr>
        <w:spacing w:line="600" w:lineRule="exact"/>
        <w:rPr>
          <w:rFonts w:hint="eastAsia" w:ascii="宋体" w:hAnsi="宋体"/>
          <w:sz w:val="28"/>
          <w:szCs w:val="28"/>
        </w:rPr>
      </w:pPr>
      <w:r>
        <w:rPr>
          <w:rFonts w:hint="eastAsia" w:ascii="宋体" w:hAnsi="宋体"/>
          <w:b/>
          <w:sz w:val="28"/>
          <w:szCs w:val="28"/>
        </w:rPr>
        <w:t>日期：</w:t>
      </w:r>
      <w:r>
        <w:rPr>
          <w:rFonts w:hint="eastAsia" w:ascii="宋体" w:hAnsi="宋体"/>
          <w:sz w:val="28"/>
          <w:szCs w:val="28"/>
        </w:rPr>
        <w:t xml:space="preserve">                            </w:t>
      </w:r>
      <w:r>
        <w:rPr>
          <w:rFonts w:hint="eastAsia" w:ascii="宋体" w:hAnsi="宋体"/>
          <w:b/>
          <w:sz w:val="28"/>
          <w:szCs w:val="28"/>
        </w:rPr>
        <w:t>日期：</w:t>
      </w:r>
    </w:p>
    <w:p w14:paraId="2AD07DC6">
      <w:pPr>
        <w:keepNext w:val="0"/>
        <w:keepLines w:val="0"/>
        <w:pageBreakBefore w:val="0"/>
        <w:widowControl w:val="0"/>
        <w:kinsoku/>
        <w:wordWrap/>
        <w:overflowPunct/>
        <w:topLinePunct w:val="0"/>
        <w:autoSpaceDE/>
        <w:autoSpaceDN/>
        <w:bidi w:val="0"/>
        <w:adjustRightInd w:val="0"/>
        <w:snapToGrid w:val="0"/>
        <w:ind w:firstLine="480" w:firstLineChars="200"/>
        <w:textAlignment w:val="auto"/>
        <w:rPr>
          <w:rFonts w:hint="eastAsia"/>
        </w:rPr>
      </w:pPr>
    </w:p>
    <w:p w14:paraId="6FCEB2D0">
      <w:pPr>
        <w:bidi w:val="0"/>
        <w:outlineLvl w:val="9"/>
        <w:rPr>
          <w:rFonts w:hint="eastAsia"/>
        </w:rPr>
      </w:pPr>
    </w:p>
    <w:p w14:paraId="77705934">
      <w:pPr>
        <w:bidi w:val="0"/>
        <w:outlineLvl w:val="9"/>
        <w:rPr>
          <w:rFonts w:hint="eastAsia"/>
        </w:rPr>
        <w:sectPr>
          <w:pgSz w:w="11906" w:h="16838"/>
          <w:pgMar w:top="1440" w:right="1800" w:bottom="1440" w:left="1800" w:header="851" w:footer="992" w:gutter="0"/>
          <w:pgNumType w:fmt="decimal"/>
          <w:cols w:space="0" w:num="1"/>
          <w:titlePg/>
          <w:docGrid w:linePitch="312" w:charSpace="0"/>
        </w:sectPr>
      </w:pPr>
    </w:p>
    <w:p w14:paraId="332AB609">
      <w:pPr>
        <w:pStyle w:val="54"/>
        <w:numPr>
          <w:ilvl w:val="0"/>
          <w:numId w:val="18"/>
        </w:numPr>
        <w:bidi w:val="0"/>
        <w:rPr>
          <w:rFonts w:hint="eastAsia"/>
          <w:lang w:val="en-US" w:eastAsia="zh-CN"/>
        </w:rPr>
      </w:pPr>
      <w:bookmarkStart w:id="832" w:name="_Toc23622"/>
      <w:bookmarkStart w:id="833" w:name="_Toc3289"/>
      <w:bookmarkStart w:id="834" w:name="_Toc29512"/>
      <w:bookmarkStart w:id="835" w:name="_Toc28848"/>
      <w:r>
        <w:rPr>
          <w:rFonts w:hint="eastAsia"/>
          <w:lang w:val="en-US" w:eastAsia="zh-CN"/>
        </w:rPr>
        <w:t>附件</w:t>
      </w:r>
      <w:bookmarkEnd w:id="832"/>
      <w:bookmarkEnd w:id="833"/>
      <w:bookmarkEnd w:id="834"/>
      <w:bookmarkEnd w:id="835"/>
    </w:p>
    <w:p w14:paraId="09581EBB">
      <w:pPr>
        <w:pStyle w:val="40"/>
        <w:numPr>
          <w:ilvl w:val="1"/>
          <w:numId w:val="0"/>
        </w:numPr>
        <w:bidi w:val="0"/>
        <w:ind w:leftChars="200"/>
        <w:rPr>
          <w:rFonts w:hint="eastAsia"/>
        </w:rPr>
      </w:pPr>
      <w:bookmarkStart w:id="836" w:name="_Toc13364"/>
      <w:bookmarkStart w:id="837" w:name="_Toc2058"/>
      <w:bookmarkStart w:id="838" w:name="_Toc18539"/>
      <w:bookmarkStart w:id="839" w:name="_Toc3130"/>
      <w:r>
        <w:rPr>
          <w:rFonts w:hint="eastAsia"/>
        </w:rPr>
        <w:t>附件一：问题的澄清</w:t>
      </w:r>
      <w:r>
        <w:rPr>
          <w:rFonts w:hint="eastAsia"/>
          <w:lang w:eastAsia="zh-CN"/>
        </w:rPr>
        <w:t>、</w:t>
      </w:r>
      <w:r>
        <w:rPr>
          <w:rFonts w:hint="eastAsia"/>
          <w:lang w:val="en-US" w:eastAsia="zh-CN"/>
        </w:rPr>
        <w:t>说明、更正</w:t>
      </w:r>
      <w:r>
        <w:rPr>
          <w:rFonts w:hint="eastAsia"/>
        </w:rPr>
        <w:t>通知</w:t>
      </w:r>
      <w:bookmarkEnd w:id="836"/>
      <w:bookmarkEnd w:id="837"/>
      <w:bookmarkEnd w:id="838"/>
      <w:bookmarkEnd w:id="839"/>
    </w:p>
    <w:p w14:paraId="490C8D67">
      <w:pPr>
        <w:spacing w:line="360" w:lineRule="auto"/>
        <w:ind w:firstLine="482" w:firstLineChars="200"/>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问题的澄清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r>
        <w:rPr>
          <w:rFonts w:hint="eastAsia" w:asciiTheme="minorEastAsia" w:hAnsiTheme="minorEastAsia" w:eastAsiaTheme="minorEastAsia" w:cstheme="minorEastAsia"/>
          <w:b/>
          <w:color w:val="000000"/>
          <w:sz w:val="24"/>
          <w:szCs w:val="24"/>
        </w:rPr>
        <w:t>通知</w:t>
      </w:r>
    </w:p>
    <w:p w14:paraId="6599D133">
      <w:pPr>
        <w:spacing w:line="360" w:lineRule="auto"/>
        <w:ind w:firstLine="482" w:firstLineChars="200"/>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rPr>
        <w:t>由</w:t>
      </w:r>
      <w:r>
        <w:rPr>
          <w:rFonts w:hint="eastAsia" w:asciiTheme="minorEastAsia" w:hAnsiTheme="minorEastAsia" w:eastAsiaTheme="minorEastAsia" w:cstheme="minorEastAsia"/>
          <w:b/>
          <w:color w:val="000000"/>
          <w:sz w:val="24"/>
          <w:szCs w:val="24"/>
          <w:lang w:val="en-US" w:eastAsia="zh-CN"/>
        </w:rPr>
        <w:t>磋商小组</w:t>
      </w:r>
      <w:r>
        <w:rPr>
          <w:rFonts w:hint="eastAsia" w:asciiTheme="minorEastAsia" w:hAnsiTheme="minorEastAsia" w:eastAsiaTheme="minorEastAsia" w:cstheme="minorEastAsia"/>
          <w:b/>
          <w:color w:val="000000"/>
          <w:sz w:val="24"/>
          <w:szCs w:val="24"/>
        </w:rPr>
        <w:t>发出</w:t>
      </w:r>
      <w:r>
        <w:rPr>
          <w:rFonts w:hint="eastAsia" w:asciiTheme="minorEastAsia" w:hAnsiTheme="minorEastAsia" w:eastAsiaTheme="minorEastAsia" w:cstheme="minorEastAsia"/>
          <w:b/>
          <w:color w:val="000000"/>
          <w:sz w:val="24"/>
          <w:szCs w:val="24"/>
          <w:lang w:eastAsia="zh-CN"/>
        </w:rPr>
        <w:t>)</w:t>
      </w:r>
    </w:p>
    <w:p w14:paraId="24BA94FB">
      <w:pPr>
        <w:spacing w:line="360" w:lineRule="auto"/>
        <w:ind w:firstLine="480" w:firstLineChars="200"/>
        <w:jc w:val="both"/>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color w:val="000000"/>
          <w:sz w:val="24"/>
          <w:szCs w:val="24"/>
        </w:rPr>
        <w:t>编号：</w:t>
      </w:r>
    </w:p>
    <w:p w14:paraId="50682C2A">
      <w:pPr>
        <w:spacing w:line="360" w:lineRule="auto"/>
        <w:ind w:firstLine="480" w:firstLineChars="200"/>
        <w:rPr>
          <w:rFonts w:hint="eastAsia" w:asciiTheme="minorEastAsia" w:hAnsiTheme="minorEastAsia" w:eastAsiaTheme="minorEastAsia" w:cstheme="minorEastAsia"/>
          <w:color w:val="000000"/>
          <w:sz w:val="24"/>
          <w:szCs w:val="24"/>
          <w:u w:val="single"/>
        </w:rPr>
      </w:pPr>
    </w:p>
    <w:p w14:paraId="1C4DD842">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供应商名称</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 xml:space="preserve"> </w:t>
      </w:r>
    </w:p>
    <w:p w14:paraId="6C4AFCF2">
      <w:pPr>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项目名称</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竞争性磋商小组，对你方的响应文件进行了仔细的审查，现需你方对下列问题以书面形式予以</w:t>
      </w:r>
      <w:r>
        <w:rPr>
          <w:rFonts w:hint="eastAsia" w:asciiTheme="minorEastAsia" w:hAnsiTheme="minorEastAsia" w:eastAsiaTheme="minorEastAsia" w:cstheme="minorEastAsia"/>
          <w:b/>
          <w:color w:val="000000"/>
          <w:sz w:val="24"/>
          <w:szCs w:val="24"/>
        </w:rPr>
        <w:t>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r>
        <w:rPr>
          <w:rFonts w:hint="eastAsia" w:asciiTheme="minorEastAsia" w:hAnsiTheme="minorEastAsia" w:eastAsiaTheme="minorEastAsia" w:cstheme="minorEastAsia"/>
          <w:color w:val="000000"/>
          <w:sz w:val="24"/>
          <w:szCs w:val="24"/>
        </w:rPr>
        <w:t>：</w:t>
      </w:r>
    </w:p>
    <w:p w14:paraId="68A7D34D">
      <w:pPr>
        <w:ind w:firstLine="480" w:firstLineChars="200"/>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1.</w:t>
      </w:r>
    </w:p>
    <w:p w14:paraId="3B33E27C">
      <w:pPr>
        <w:ind w:firstLine="480" w:firstLineChars="200"/>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2.</w:t>
      </w:r>
    </w:p>
    <w:p w14:paraId="592E9C64">
      <w:pPr>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w:t>
      </w:r>
    </w:p>
    <w:p w14:paraId="7FFBECE7">
      <w:pPr>
        <w:keepNext w:val="0"/>
        <w:keepLines w:val="0"/>
        <w:pageBreakBefore w:val="0"/>
        <w:widowControl w:val="0"/>
        <w:kinsoku/>
        <w:wordWrap w:val="0"/>
        <w:overflowPunct/>
        <w:topLinePunct w:val="0"/>
        <w:autoSpaceDE/>
        <w:autoSpaceDN/>
        <w:bidi w:val="0"/>
        <w:adjustRightInd w:val="0"/>
        <w:snapToGrid w:val="0"/>
        <w:ind w:firstLine="480" w:firstLineChars="200"/>
        <w:textAlignment w:val="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请将上述问题的</w:t>
      </w:r>
      <w:r>
        <w:rPr>
          <w:rFonts w:hint="eastAsia" w:asciiTheme="minorEastAsia" w:hAnsiTheme="minorEastAsia" w:eastAsiaTheme="minorEastAsia" w:cstheme="minorEastAsia"/>
          <w:b/>
          <w:color w:val="000000"/>
          <w:sz w:val="24"/>
          <w:szCs w:val="24"/>
        </w:rPr>
        <w:t>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r>
        <w:rPr>
          <w:rFonts w:hint="eastAsia" w:asciiTheme="minorEastAsia" w:hAnsiTheme="minorEastAsia" w:eastAsiaTheme="minorEastAsia" w:cstheme="minorEastAsia"/>
          <w:color w:val="000000"/>
          <w:sz w:val="24"/>
          <w:szCs w:val="24"/>
        </w:rPr>
        <w:t>于</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月</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日</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时前递交至</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详细地址</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或传真至</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传真号码</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。采用传真方式的，应在</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月</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日</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时前将原件递交至</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详细地址</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w:t>
      </w:r>
    </w:p>
    <w:p w14:paraId="5F715A9B">
      <w:pPr>
        <w:ind w:firstLine="5880" w:firstLineChars="2450"/>
        <w:rPr>
          <w:rFonts w:hint="eastAsia" w:asciiTheme="minorEastAsia" w:hAnsiTheme="minorEastAsia" w:eastAsiaTheme="minorEastAsia" w:cstheme="minorEastAsia"/>
          <w:color w:val="000000"/>
          <w:sz w:val="24"/>
          <w:szCs w:val="24"/>
        </w:rPr>
      </w:pPr>
    </w:p>
    <w:p w14:paraId="0B91820D">
      <w:pPr>
        <w:ind w:firstLine="5880" w:firstLineChars="2450"/>
        <w:rPr>
          <w:rFonts w:hint="eastAsia" w:asciiTheme="minorEastAsia" w:hAnsiTheme="minorEastAsia" w:eastAsiaTheme="minorEastAsia" w:cstheme="minorEastAsia"/>
          <w:color w:val="000000"/>
          <w:sz w:val="24"/>
          <w:szCs w:val="24"/>
        </w:rPr>
      </w:pPr>
    </w:p>
    <w:p w14:paraId="40E2335F">
      <w:pPr>
        <w:ind w:firstLine="2160" w:firstLineChars="90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磋商小组：</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签字</w:t>
      </w:r>
      <w:r>
        <w:rPr>
          <w:rFonts w:hint="eastAsia" w:asciiTheme="minorEastAsia" w:hAnsiTheme="minorEastAsia" w:eastAsiaTheme="minorEastAsia" w:cstheme="minorEastAsia"/>
          <w:color w:val="000000"/>
          <w:sz w:val="24"/>
          <w:szCs w:val="24"/>
          <w:lang w:eastAsia="zh-CN"/>
        </w:rPr>
        <w:t>)</w:t>
      </w:r>
    </w:p>
    <w:p w14:paraId="14A65F43">
      <w:pPr>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采购人或采购代理机构：</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盖单位章或负责人签字</w:t>
      </w:r>
      <w:r>
        <w:rPr>
          <w:rFonts w:hint="eastAsia" w:asciiTheme="minorEastAsia" w:hAnsiTheme="minorEastAsia" w:eastAsiaTheme="minorEastAsia" w:cstheme="minorEastAsia"/>
          <w:color w:val="000000"/>
          <w:sz w:val="24"/>
          <w:szCs w:val="24"/>
          <w:lang w:eastAsia="zh-CN"/>
        </w:rPr>
        <w:t>)</w:t>
      </w:r>
    </w:p>
    <w:p w14:paraId="5CEE967B">
      <w:pPr>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年</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月</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日</w:t>
      </w:r>
    </w:p>
    <w:p w14:paraId="65D778EE">
      <w:pPr>
        <w:ind w:firstLine="616" w:firstLineChars="257"/>
        <w:rPr>
          <w:rFonts w:hint="eastAsia" w:asciiTheme="minorEastAsia" w:hAnsiTheme="minorEastAsia" w:eastAsiaTheme="minorEastAsia" w:cstheme="minorEastAsia"/>
          <w:color w:val="000000"/>
          <w:sz w:val="24"/>
          <w:szCs w:val="24"/>
        </w:rPr>
      </w:pPr>
    </w:p>
    <w:p w14:paraId="5958C9F6">
      <w:pPr>
        <w:ind w:firstLine="616" w:firstLineChars="257"/>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注：</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1</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“问题</w:t>
      </w:r>
      <w:r>
        <w:rPr>
          <w:rFonts w:hint="eastAsia" w:asciiTheme="minorEastAsia" w:hAnsiTheme="minorEastAsia" w:eastAsiaTheme="minorEastAsia" w:cstheme="minorEastAsia"/>
          <w:b/>
          <w:color w:val="000000"/>
          <w:sz w:val="24"/>
          <w:szCs w:val="24"/>
        </w:rPr>
        <w:t>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r>
        <w:rPr>
          <w:rFonts w:hint="eastAsia" w:asciiTheme="minorEastAsia" w:hAnsiTheme="minorEastAsia" w:eastAsiaTheme="minorEastAsia" w:cstheme="minorEastAsia"/>
          <w:color w:val="000000"/>
          <w:sz w:val="24"/>
          <w:szCs w:val="24"/>
        </w:rPr>
        <w:t>通知”由磋商小</w:t>
      </w:r>
      <w:r>
        <w:rPr>
          <w:rFonts w:hint="eastAsia" w:asciiTheme="minorEastAsia" w:hAnsiTheme="minorEastAsia" w:eastAsiaTheme="minorEastAsia" w:cstheme="minorEastAsia"/>
          <w:color w:val="000000"/>
          <w:sz w:val="24"/>
          <w:szCs w:val="24"/>
          <w:lang w:val="en-US" w:eastAsia="zh-CN"/>
        </w:rPr>
        <w:t>组</w:t>
      </w:r>
      <w:r>
        <w:rPr>
          <w:rFonts w:hint="eastAsia" w:asciiTheme="minorEastAsia" w:hAnsiTheme="minorEastAsia" w:eastAsiaTheme="minorEastAsia" w:cstheme="minorEastAsia"/>
          <w:color w:val="000000"/>
          <w:sz w:val="24"/>
          <w:szCs w:val="24"/>
        </w:rPr>
        <w:t>拟定</w:t>
      </w:r>
      <w:r>
        <w:rPr>
          <w:rFonts w:hint="eastAsia" w:asciiTheme="minorEastAsia" w:hAnsiTheme="minorEastAsia" w:eastAsiaTheme="minorEastAsia" w:cstheme="minorEastAsia"/>
          <w:color w:val="000000"/>
          <w:sz w:val="24"/>
          <w:szCs w:val="24"/>
          <w:lang w:val="en-US" w:eastAsia="zh-CN"/>
        </w:rPr>
        <w:t>书面形式作出</w:t>
      </w:r>
      <w:r>
        <w:rPr>
          <w:rFonts w:hint="eastAsia" w:asciiTheme="minorEastAsia" w:hAnsiTheme="minorEastAsia" w:eastAsiaTheme="minorEastAsia" w:cstheme="minorEastAsia"/>
          <w:color w:val="000000"/>
          <w:sz w:val="24"/>
          <w:szCs w:val="24"/>
        </w:rPr>
        <w:t>，由采购人或采购代理机构代为发出。</w:t>
      </w:r>
    </w:p>
    <w:p w14:paraId="4207B514">
      <w:pPr>
        <w:ind w:firstLine="616" w:firstLineChars="257"/>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2</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发给供应商的“问题</w:t>
      </w:r>
      <w:r>
        <w:rPr>
          <w:rFonts w:hint="eastAsia" w:asciiTheme="minorEastAsia" w:hAnsiTheme="minorEastAsia" w:eastAsiaTheme="minorEastAsia" w:cstheme="minorEastAsia"/>
          <w:b/>
          <w:color w:val="000000"/>
          <w:sz w:val="24"/>
          <w:szCs w:val="24"/>
        </w:rPr>
        <w:t>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r>
        <w:rPr>
          <w:rFonts w:hint="eastAsia" w:asciiTheme="minorEastAsia" w:hAnsiTheme="minorEastAsia" w:eastAsiaTheme="minorEastAsia" w:cstheme="minorEastAsia"/>
          <w:color w:val="000000"/>
          <w:sz w:val="24"/>
          <w:szCs w:val="24"/>
        </w:rPr>
        <w:t>通知”，应删除“磋商小组：</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签字</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”一栏，以“采购人或采购代理机构：</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盖单位章或负责人签字</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”代替。磋商小组签字的“问题</w:t>
      </w:r>
      <w:r>
        <w:rPr>
          <w:rFonts w:hint="eastAsia" w:asciiTheme="minorEastAsia" w:hAnsiTheme="minorEastAsia" w:eastAsiaTheme="minorEastAsia" w:cstheme="minorEastAsia"/>
          <w:b/>
          <w:color w:val="000000"/>
          <w:sz w:val="24"/>
          <w:szCs w:val="24"/>
        </w:rPr>
        <w:t>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r>
        <w:rPr>
          <w:rFonts w:hint="eastAsia" w:asciiTheme="minorEastAsia" w:hAnsiTheme="minorEastAsia" w:eastAsiaTheme="minorEastAsia" w:cstheme="minorEastAsia"/>
          <w:color w:val="000000"/>
          <w:sz w:val="24"/>
          <w:szCs w:val="24"/>
        </w:rPr>
        <w:t>通知”，应编入评审报告并存档备查。</w:t>
      </w:r>
    </w:p>
    <w:p w14:paraId="1569BC03">
      <w:pPr>
        <w:pStyle w:val="40"/>
        <w:numPr>
          <w:ilvl w:val="1"/>
          <w:numId w:val="0"/>
        </w:numPr>
        <w:bidi w:val="0"/>
        <w:ind w:leftChars="200"/>
        <w:rPr>
          <w:rFonts w:hint="eastAsia" w:asciiTheme="minorEastAsia" w:hAnsiTheme="minorEastAsia" w:eastAsiaTheme="minorEastAsia" w:cstheme="minorEastAsia"/>
          <w:b/>
          <w:color w:val="000000"/>
          <w:sz w:val="24"/>
        </w:rPr>
      </w:pPr>
      <w:r>
        <w:rPr>
          <w:rFonts w:hint="eastAsia" w:asciiTheme="minorEastAsia" w:hAnsiTheme="minorEastAsia" w:eastAsiaTheme="minorEastAsia" w:cstheme="minorEastAsia"/>
          <w:color w:val="000000"/>
          <w:szCs w:val="21"/>
          <w:u w:val="single"/>
        </w:rPr>
        <w:br w:type="page"/>
      </w:r>
      <w:bookmarkStart w:id="840" w:name="_Toc31095"/>
      <w:bookmarkStart w:id="841" w:name="_Toc11699"/>
      <w:bookmarkStart w:id="842" w:name="_Toc9486"/>
      <w:bookmarkStart w:id="843" w:name="_Toc3428"/>
      <w:r>
        <w:rPr>
          <w:rFonts w:hint="eastAsia" w:asciiTheme="minorEastAsia" w:hAnsiTheme="minorEastAsia" w:eastAsiaTheme="minorEastAsia" w:cstheme="minorEastAsia"/>
          <w:b/>
          <w:color w:val="000000"/>
          <w:sz w:val="24"/>
        </w:rPr>
        <w:t>附件二：</w:t>
      </w:r>
      <w:r>
        <w:rPr>
          <w:rFonts w:hint="eastAsia" w:asciiTheme="minorEastAsia" w:hAnsiTheme="minorEastAsia" w:eastAsiaTheme="minorEastAsia" w:cstheme="minorEastAsia"/>
          <w:b/>
          <w:color w:val="000000"/>
          <w:sz w:val="24"/>
          <w:szCs w:val="24"/>
        </w:rPr>
        <w:t>问题的澄清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bookmarkEnd w:id="840"/>
      <w:bookmarkEnd w:id="841"/>
      <w:bookmarkEnd w:id="842"/>
      <w:bookmarkEnd w:id="843"/>
    </w:p>
    <w:p w14:paraId="439F22EC">
      <w:pPr>
        <w:ind w:firstLine="482" w:firstLineChars="200"/>
        <w:jc w:val="center"/>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b/>
          <w:color w:val="000000"/>
          <w:sz w:val="24"/>
          <w:szCs w:val="24"/>
        </w:rPr>
        <w:t>问题的澄清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p>
    <w:p w14:paraId="0BD939BC">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编号：</w:t>
      </w:r>
    </w:p>
    <w:p w14:paraId="1C118124">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(项目名称</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竞争性磋商小组：</w:t>
      </w:r>
    </w:p>
    <w:p w14:paraId="26C80F0F">
      <w:pPr>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问题澄清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r>
        <w:rPr>
          <w:rFonts w:hint="eastAsia" w:asciiTheme="minorEastAsia" w:hAnsiTheme="minorEastAsia" w:eastAsiaTheme="minorEastAsia" w:cstheme="minorEastAsia"/>
          <w:color w:val="000000"/>
          <w:sz w:val="24"/>
          <w:szCs w:val="24"/>
        </w:rPr>
        <w:t>通知</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编号：</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已收悉，现</w:t>
      </w:r>
      <w:r>
        <w:rPr>
          <w:rFonts w:hint="eastAsia" w:asciiTheme="minorEastAsia" w:hAnsiTheme="minorEastAsia" w:eastAsiaTheme="minorEastAsia" w:cstheme="minorEastAsia"/>
          <w:b/>
          <w:color w:val="000000"/>
          <w:sz w:val="24"/>
          <w:szCs w:val="24"/>
        </w:rPr>
        <w:t>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r>
        <w:rPr>
          <w:rFonts w:hint="eastAsia" w:asciiTheme="minorEastAsia" w:hAnsiTheme="minorEastAsia" w:eastAsiaTheme="minorEastAsia" w:cstheme="minorEastAsia"/>
          <w:color w:val="000000"/>
          <w:sz w:val="24"/>
          <w:szCs w:val="24"/>
        </w:rPr>
        <w:t>如下：</w:t>
      </w:r>
    </w:p>
    <w:p w14:paraId="63E1A0EF">
      <w:pPr>
        <w:ind w:firstLine="480" w:firstLineChars="200"/>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1.</w:t>
      </w:r>
    </w:p>
    <w:p w14:paraId="53449B26">
      <w:pPr>
        <w:ind w:firstLine="480" w:firstLineChars="200"/>
        <w:rPr>
          <w:rFonts w:hint="eastAsia" w:asciiTheme="minorEastAsia" w:hAnsiTheme="minorEastAsia" w:eastAsiaTheme="minorEastAsia" w:cstheme="minorEastAsia"/>
          <w:color w:val="000000"/>
          <w:sz w:val="24"/>
          <w:szCs w:val="24"/>
          <w:lang w:eastAsia="zh-CN"/>
        </w:rPr>
      </w:pPr>
      <w:r>
        <w:rPr>
          <w:rFonts w:hint="eastAsia" w:asciiTheme="minorEastAsia" w:hAnsiTheme="minorEastAsia" w:eastAsiaTheme="minorEastAsia" w:cstheme="minorEastAsia"/>
          <w:color w:val="000000"/>
          <w:sz w:val="24"/>
          <w:szCs w:val="24"/>
          <w:lang w:eastAsia="zh-CN"/>
        </w:rPr>
        <w:t>2.</w:t>
      </w:r>
    </w:p>
    <w:p w14:paraId="0D646DAA">
      <w:pPr>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w:t>
      </w:r>
    </w:p>
    <w:p w14:paraId="12261AD3">
      <w:pPr>
        <w:ind w:firstLine="480" w:firstLineChars="200"/>
        <w:rPr>
          <w:rFonts w:hint="eastAsia" w:asciiTheme="minorEastAsia" w:hAnsiTheme="minorEastAsia" w:eastAsiaTheme="minorEastAsia" w:cstheme="minorEastAsia"/>
          <w:color w:val="000000"/>
          <w:sz w:val="24"/>
          <w:szCs w:val="24"/>
        </w:rPr>
      </w:pPr>
    </w:p>
    <w:p w14:paraId="63F21C7D">
      <w:pPr>
        <w:ind w:firstLine="480" w:firstLineChars="200"/>
        <w:rPr>
          <w:rFonts w:hint="eastAsia" w:asciiTheme="minorEastAsia" w:hAnsiTheme="minorEastAsia" w:eastAsiaTheme="minorEastAsia" w:cstheme="minorEastAsia"/>
          <w:color w:val="000000"/>
          <w:sz w:val="24"/>
          <w:szCs w:val="24"/>
        </w:rPr>
      </w:pPr>
    </w:p>
    <w:p w14:paraId="543C2D2C">
      <w:pPr>
        <w:ind w:firstLine="480" w:firstLineChars="200"/>
        <w:rPr>
          <w:rFonts w:hint="eastAsia" w:asciiTheme="minorEastAsia" w:hAnsiTheme="minorEastAsia" w:eastAsiaTheme="minorEastAsia" w:cstheme="minorEastAsia"/>
          <w:color w:val="000000"/>
          <w:sz w:val="24"/>
          <w:szCs w:val="24"/>
        </w:rPr>
      </w:pPr>
    </w:p>
    <w:p w14:paraId="4A71FB6F">
      <w:pPr>
        <w:ind w:firstLine="480" w:firstLineChars="200"/>
        <w:rPr>
          <w:rFonts w:hint="eastAsia" w:asciiTheme="minorEastAsia" w:hAnsiTheme="minorEastAsia" w:eastAsiaTheme="minorEastAsia" w:cstheme="minorEastAsia"/>
          <w:color w:val="000000"/>
          <w:sz w:val="24"/>
          <w:szCs w:val="24"/>
        </w:rPr>
      </w:pPr>
    </w:p>
    <w:p w14:paraId="0E628E66">
      <w:pPr>
        <w:ind w:firstLine="480" w:firstLineChars="200"/>
        <w:rPr>
          <w:rFonts w:hint="eastAsia" w:asciiTheme="minorEastAsia" w:hAnsiTheme="minorEastAsia" w:eastAsiaTheme="minorEastAsia" w:cstheme="minorEastAsia"/>
          <w:color w:val="000000"/>
          <w:sz w:val="24"/>
          <w:szCs w:val="24"/>
        </w:rPr>
      </w:pPr>
    </w:p>
    <w:p w14:paraId="2A8EFB89">
      <w:pPr>
        <w:ind w:firstLine="4200" w:firstLineChars="17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法定代表人或其授权代表：</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lang w:eastAsia="zh-CN"/>
        </w:rPr>
        <w:t>(</w:t>
      </w:r>
      <w:r>
        <w:rPr>
          <w:rFonts w:hint="eastAsia" w:asciiTheme="minorEastAsia" w:hAnsiTheme="minorEastAsia" w:eastAsiaTheme="minorEastAsia" w:cstheme="minorEastAsia"/>
          <w:color w:val="000000"/>
          <w:sz w:val="24"/>
          <w:szCs w:val="24"/>
        </w:rPr>
        <w:t>签字</w:t>
      </w:r>
      <w:r>
        <w:rPr>
          <w:rFonts w:hint="eastAsia" w:asciiTheme="minorEastAsia" w:hAnsiTheme="minorEastAsia" w:eastAsiaTheme="minorEastAsia" w:cstheme="minorEastAsia"/>
          <w:color w:val="000000"/>
          <w:sz w:val="24"/>
          <w:szCs w:val="24"/>
          <w:lang w:eastAsia="zh-CN"/>
        </w:rPr>
        <w:t>)</w:t>
      </w:r>
    </w:p>
    <w:p w14:paraId="6423C76B">
      <w:pPr>
        <w:ind w:firstLine="5880" w:firstLineChars="2450"/>
        <w:rPr>
          <w:rFonts w:hint="eastAsia" w:asciiTheme="minorEastAsia" w:hAnsiTheme="minorEastAsia" w:eastAsiaTheme="minorEastAsia" w:cstheme="minorEastAsia"/>
          <w:color w:val="000000"/>
          <w:sz w:val="24"/>
          <w:szCs w:val="24"/>
          <w:u w:val="single"/>
        </w:rPr>
      </w:pPr>
    </w:p>
    <w:p w14:paraId="57DC380A">
      <w:pPr>
        <w:ind w:firstLine="5400" w:firstLineChars="22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月</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日</w:t>
      </w:r>
    </w:p>
    <w:p w14:paraId="5AE7DAA0">
      <w:pPr>
        <w:rPr>
          <w:rFonts w:hint="eastAsia" w:asciiTheme="minorEastAsia" w:hAnsiTheme="minorEastAsia" w:eastAsiaTheme="minorEastAsia" w:cstheme="minorEastAsia"/>
          <w:color w:val="000000"/>
          <w:sz w:val="24"/>
          <w:szCs w:val="24"/>
        </w:rPr>
      </w:pPr>
    </w:p>
    <w:p w14:paraId="1FF47DBC">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注：供应商应按本“</w:t>
      </w:r>
      <w:r>
        <w:rPr>
          <w:rFonts w:hint="eastAsia" w:asciiTheme="minorEastAsia" w:hAnsiTheme="minorEastAsia" w:eastAsiaTheme="minorEastAsia" w:cstheme="minorEastAsia"/>
          <w:b/>
          <w:color w:val="000000"/>
          <w:sz w:val="24"/>
          <w:szCs w:val="24"/>
        </w:rPr>
        <w:t>问题的澄清</w:t>
      </w:r>
      <w:r>
        <w:rPr>
          <w:rFonts w:hint="eastAsia" w:asciiTheme="minorEastAsia" w:hAnsiTheme="minorEastAsia" w:eastAsiaTheme="minorEastAsia" w:cstheme="minorEastAsia"/>
          <w:b/>
          <w:color w:val="000000"/>
          <w:sz w:val="24"/>
          <w:szCs w:val="24"/>
          <w:lang w:eastAsia="zh-CN"/>
        </w:rPr>
        <w:t>、</w:t>
      </w:r>
      <w:r>
        <w:rPr>
          <w:rFonts w:hint="eastAsia" w:asciiTheme="minorEastAsia" w:hAnsiTheme="minorEastAsia" w:eastAsiaTheme="minorEastAsia" w:cstheme="minorEastAsia"/>
          <w:b/>
          <w:color w:val="000000"/>
          <w:sz w:val="24"/>
          <w:szCs w:val="24"/>
          <w:lang w:val="en-US" w:eastAsia="zh-CN"/>
        </w:rPr>
        <w:t>说明、更正</w:t>
      </w:r>
      <w:r>
        <w:rPr>
          <w:rFonts w:hint="eastAsia" w:asciiTheme="minorEastAsia" w:hAnsiTheme="minorEastAsia" w:eastAsiaTheme="minorEastAsia" w:cstheme="minorEastAsia"/>
          <w:color w:val="000000"/>
          <w:sz w:val="24"/>
          <w:szCs w:val="24"/>
        </w:rPr>
        <w:t>”格式回复。</w:t>
      </w:r>
    </w:p>
    <w:p w14:paraId="366BAE1D">
      <w:pPr>
        <w:rPr>
          <w:rFonts w:hint="eastAsia"/>
          <w:lang w:val="en-US" w:eastAsia="zh-CN"/>
        </w:rPr>
      </w:pPr>
      <w:r>
        <w:rPr>
          <w:rFonts w:hint="eastAsia"/>
          <w:lang w:val="en-US" w:eastAsia="zh-CN"/>
        </w:rPr>
        <w:br w:type="page"/>
      </w:r>
    </w:p>
    <w:p w14:paraId="1A45B8D3">
      <w:pPr>
        <w:pStyle w:val="40"/>
        <w:numPr>
          <w:ilvl w:val="1"/>
          <w:numId w:val="0"/>
        </w:numPr>
        <w:bidi w:val="0"/>
        <w:ind w:leftChars="200"/>
        <w:rPr>
          <w:rFonts w:hint="default"/>
          <w:lang w:val="en-US" w:eastAsia="zh-CN"/>
        </w:rPr>
      </w:pPr>
      <w:bookmarkStart w:id="844" w:name="_Toc22292"/>
      <w:bookmarkStart w:id="845" w:name="_Toc28337"/>
      <w:bookmarkStart w:id="846" w:name="_Toc10310"/>
      <w:r>
        <w:rPr>
          <w:rFonts w:hint="eastAsia"/>
          <w:lang w:val="en-US" w:eastAsia="zh-CN"/>
        </w:rPr>
        <w:t>附件三：2026年度信用评价服务效果调查表</w:t>
      </w:r>
      <w:bookmarkEnd w:id="844"/>
      <w:bookmarkEnd w:id="845"/>
      <w:bookmarkEnd w:id="846"/>
    </w:p>
    <w:p w14:paraId="2EAE7213">
      <w:pPr>
        <w:pStyle w:val="48"/>
        <w:bidi w:val="0"/>
        <w:rPr>
          <w:rFonts w:hint="eastAsia"/>
          <w:u w:val="single"/>
          <w:lang w:val="en-US" w:eastAsia="zh-CN"/>
        </w:rPr>
      </w:pPr>
      <w:r>
        <w:rPr>
          <w:rFonts w:hint="eastAsia"/>
          <w:lang w:val="en-US" w:eastAsia="zh-CN"/>
        </w:rPr>
        <w:t>项目名称：</w:t>
      </w:r>
      <w:r>
        <w:rPr>
          <w:rFonts w:hint="eastAsia"/>
          <w:u w:val="single"/>
          <w:lang w:val="en-US" w:eastAsia="zh-CN"/>
        </w:rPr>
        <w:t xml:space="preserve">                               </w:t>
      </w:r>
    </w:p>
    <w:p w14:paraId="5DD9F502">
      <w:pPr>
        <w:pStyle w:val="48"/>
        <w:bidi w:val="0"/>
        <w:rPr>
          <w:rFonts w:hint="eastAsia"/>
          <w:u w:val="single"/>
          <w:lang w:val="en-US" w:eastAsia="zh-CN"/>
        </w:rPr>
      </w:pPr>
      <w:r>
        <w:rPr>
          <w:rFonts w:hint="eastAsia"/>
          <w:lang w:val="en-US" w:eastAsia="zh-CN"/>
        </w:rPr>
        <w:t>项目编号：</w:t>
      </w:r>
      <w:r>
        <w:rPr>
          <w:rFonts w:hint="eastAsia"/>
          <w:u w:val="single"/>
          <w:lang w:val="en-US" w:eastAsia="zh-CN"/>
        </w:rPr>
        <w:t xml:space="preserve">                               </w:t>
      </w:r>
    </w:p>
    <w:p w14:paraId="4152B160">
      <w:pPr>
        <w:pStyle w:val="48"/>
        <w:bidi w:val="0"/>
        <w:rPr>
          <w:rFonts w:hint="eastAsia"/>
          <w:lang w:val="en-US" w:eastAsia="zh-CN"/>
        </w:rPr>
      </w:pPr>
      <w:r>
        <w:rPr>
          <w:rFonts w:hint="eastAsia"/>
          <w:lang w:val="en-US" w:eastAsia="zh-CN"/>
        </w:rPr>
        <w:t>被评价代理机构名称：四川乾新招投标代理有限公司</w:t>
      </w:r>
    </w:p>
    <w:tbl>
      <w:tblPr>
        <w:tblStyle w:val="25"/>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15" w:type="dxa"/>
          <w:left w:w="15" w:type="dxa"/>
          <w:bottom w:w="15" w:type="dxa"/>
          <w:right w:w="15" w:type="dxa"/>
        </w:tblCellMar>
      </w:tblPr>
      <w:tblGrid>
        <w:gridCol w:w="1038"/>
        <w:gridCol w:w="2072"/>
        <w:gridCol w:w="1303"/>
        <w:gridCol w:w="1303"/>
        <w:gridCol w:w="1303"/>
        <w:gridCol w:w="1314"/>
      </w:tblGrid>
      <w:tr w14:paraId="39CA56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90" w:hRule="atLeast"/>
        </w:trPr>
        <w:tc>
          <w:tcPr>
            <w:tcW w:w="623" w:type="pct"/>
            <w:tcBorders>
              <w:top w:val="single" w:color="000000" w:sz="4" w:space="0"/>
              <w:left w:val="single" w:color="000000" w:sz="4" w:space="0"/>
              <w:bottom w:val="single" w:color="000000" w:sz="4" w:space="0"/>
              <w:right w:val="single" w:color="000000" w:sz="4" w:space="0"/>
            </w:tcBorders>
            <w:vAlign w:val="center"/>
          </w:tcPr>
          <w:p w14:paraId="5FA01E1D">
            <w:pPr>
              <w:pStyle w:val="50"/>
              <w:bidi w:val="0"/>
              <w:rPr>
                <w:rFonts w:hint="eastAsia"/>
                <w:b/>
                <w:bCs/>
              </w:rPr>
            </w:pPr>
            <w:r>
              <w:rPr>
                <w:rFonts w:hint="eastAsia"/>
                <w:b/>
                <w:bCs/>
                <w:lang w:val="en-US" w:eastAsia="zh-CN"/>
              </w:rPr>
              <w:t>序号</w:t>
            </w:r>
          </w:p>
        </w:tc>
        <w:tc>
          <w:tcPr>
            <w:tcW w:w="1243" w:type="pct"/>
            <w:tcBorders>
              <w:top w:val="single" w:color="000000" w:sz="4" w:space="0"/>
              <w:left w:val="single" w:color="000000" w:sz="4" w:space="0"/>
              <w:bottom w:val="single" w:color="000000" w:sz="4" w:space="0"/>
              <w:right w:val="single" w:color="000000" w:sz="4" w:space="0"/>
            </w:tcBorders>
            <w:vAlign w:val="center"/>
          </w:tcPr>
          <w:p w14:paraId="496B2CE6">
            <w:pPr>
              <w:pStyle w:val="50"/>
              <w:bidi w:val="0"/>
              <w:rPr>
                <w:rFonts w:hint="eastAsia"/>
                <w:b/>
                <w:bCs/>
              </w:rPr>
            </w:pPr>
            <w:r>
              <w:rPr>
                <w:rFonts w:hint="eastAsia"/>
                <w:b/>
                <w:bCs/>
                <w:lang w:val="en-US" w:eastAsia="zh-CN"/>
              </w:rPr>
              <w:t>测评内容</w:t>
            </w:r>
          </w:p>
        </w:tc>
        <w:tc>
          <w:tcPr>
            <w:tcW w:w="782" w:type="pct"/>
            <w:tcBorders>
              <w:top w:val="single" w:color="000000" w:sz="4" w:space="0"/>
              <w:left w:val="single" w:color="000000" w:sz="4" w:space="0"/>
              <w:bottom w:val="single" w:color="000000" w:sz="4" w:space="0"/>
              <w:right w:val="single" w:color="000000" w:sz="4" w:space="0"/>
            </w:tcBorders>
            <w:vAlign w:val="center"/>
          </w:tcPr>
          <w:p w14:paraId="52F18CE4">
            <w:pPr>
              <w:pStyle w:val="50"/>
              <w:bidi w:val="0"/>
              <w:rPr>
                <w:rFonts w:hint="eastAsia"/>
                <w:b/>
                <w:bCs/>
                <w:lang w:val="en-US" w:eastAsia="zh-CN"/>
              </w:rPr>
            </w:pPr>
            <w:r>
              <w:rPr>
                <w:rFonts w:hint="eastAsia"/>
                <w:b/>
                <w:bCs/>
                <w:lang w:val="en-US" w:eastAsia="zh-CN"/>
              </w:rPr>
              <w:t>满意</w:t>
            </w:r>
          </w:p>
          <w:p w14:paraId="74F4A2D9">
            <w:pPr>
              <w:pStyle w:val="50"/>
              <w:bidi w:val="0"/>
              <w:rPr>
                <w:rFonts w:hint="eastAsia"/>
                <w:b/>
                <w:bCs/>
              </w:rPr>
            </w:pPr>
            <w:r>
              <w:rPr>
                <w:rFonts w:hint="eastAsia"/>
                <w:b/>
                <w:bCs/>
                <w:lang w:val="en-US" w:eastAsia="zh-CN"/>
              </w:rPr>
              <w:t>(3分)</w:t>
            </w:r>
          </w:p>
        </w:tc>
        <w:tc>
          <w:tcPr>
            <w:tcW w:w="782" w:type="pct"/>
            <w:tcBorders>
              <w:top w:val="single" w:color="000000" w:sz="4" w:space="0"/>
              <w:left w:val="single" w:color="000000" w:sz="4" w:space="0"/>
              <w:bottom w:val="single" w:color="000000" w:sz="4" w:space="0"/>
              <w:right w:val="single" w:color="000000" w:sz="4" w:space="0"/>
            </w:tcBorders>
            <w:vAlign w:val="center"/>
          </w:tcPr>
          <w:p w14:paraId="202AA9AA">
            <w:pPr>
              <w:pStyle w:val="50"/>
              <w:bidi w:val="0"/>
              <w:rPr>
                <w:rFonts w:hint="eastAsia"/>
                <w:b/>
                <w:bCs/>
                <w:lang w:val="en-US" w:eastAsia="zh-CN"/>
              </w:rPr>
            </w:pPr>
            <w:r>
              <w:rPr>
                <w:rFonts w:hint="eastAsia"/>
                <w:b/>
                <w:bCs/>
                <w:lang w:val="en-US" w:eastAsia="zh-CN"/>
              </w:rPr>
              <w:t xml:space="preserve">基本满意 </w:t>
            </w:r>
          </w:p>
          <w:p w14:paraId="53FE6441">
            <w:pPr>
              <w:pStyle w:val="50"/>
              <w:bidi w:val="0"/>
              <w:rPr>
                <w:rFonts w:hint="eastAsia"/>
                <w:b/>
                <w:bCs/>
              </w:rPr>
            </w:pPr>
            <w:r>
              <w:rPr>
                <w:rFonts w:hint="eastAsia"/>
                <w:b/>
                <w:bCs/>
                <w:lang w:val="en-US" w:eastAsia="zh-CN"/>
              </w:rPr>
              <w:t>(2分)</w:t>
            </w:r>
          </w:p>
        </w:tc>
        <w:tc>
          <w:tcPr>
            <w:tcW w:w="782" w:type="pct"/>
            <w:tcBorders>
              <w:top w:val="single" w:color="000000" w:sz="4" w:space="0"/>
              <w:left w:val="single" w:color="000000" w:sz="4" w:space="0"/>
              <w:bottom w:val="single" w:color="000000" w:sz="4" w:space="0"/>
              <w:right w:val="single" w:color="000000" w:sz="4" w:space="0"/>
            </w:tcBorders>
            <w:vAlign w:val="center"/>
          </w:tcPr>
          <w:p w14:paraId="6E08EDA1">
            <w:pPr>
              <w:pStyle w:val="50"/>
              <w:bidi w:val="0"/>
              <w:rPr>
                <w:rFonts w:hint="eastAsia"/>
                <w:b/>
                <w:bCs/>
                <w:lang w:val="en-US" w:eastAsia="zh-CN"/>
              </w:rPr>
            </w:pPr>
            <w:r>
              <w:rPr>
                <w:rFonts w:hint="eastAsia"/>
                <w:b/>
                <w:bCs/>
                <w:lang w:val="en-US" w:eastAsia="zh-CN"/>
              </w:rPr>
              <w:t xml:space="preserve">一般 </w:t>
            </w:r>
          </w:p>
          <w:p w14:paraId="3B591DF2">
            <w:pPr>
              <w:pStyle w:val="50"/>
              <w:bidi w:val="0"/>
              <w:rPr>
                <w:rFonts w:hint="eastAsia"/>
                <w:b/>
                <w:bCs/>
              </w:rPr>
            </w:pPr>
            <w:r>
              <w:rPr>
                <w:rFonts w:hint="eastAsia"/>
                <w:b/>
                <w:bCs/>
                <w:lang w:val="en-US" w:eastAsia="zh-CN"/>
              </w:rPr>
              <w:t>(1分)</w:t>
            </w:r>
          </w:p>
        </w:tc>
        <w:tc>
          <w:tcPr>
            <w:tcW w:w="783" w:type="pct"/>
            <w:tcBorders>
              <w:top w:val="single" w:color="000000" w:sz="4" w:space="0"/>
              <w:left w:val="single" w:color="000000" w:sz="4" w:space="0"/>
              <w:bottom w:val="single" w:color="000000" w:sz="4" w:space="0"/>
              <w:right w:val="single" w:color="000000" w:sz="4" w:space="0"/>
            </w:tcBorders>
            <w:vAlign w:val="center"/>
          </w:tcPr>
          <w:p w14:paraId="3DDAC38C">
            <w:pPr>
              <w:pStyle w:val="50"/>
              <w:bidi w:val="0"/>
              <w:rPr>
                <w:rFonts w:hint="eastAsia"/>
                <w:b/>
                <w:bCs/>
                <w:lang w:val="en-US" w:eastAsia="zh-CN"/>
              </w:rPr>
            </w:pPr>
            <w:r>
              <w:rPr>
                <w:rFonts w:hint="eastAsia"/>
                <w:b/>
                <w:bCs/>
                <w:lang w:val="en-US" w:eastAsia="zh-CN"/>
              </w:rPr>
              <w:t>不满意</w:t>
            </w:r>
          </w:p>
          <w:p w14:paraId="58971771">
            <w:pPr>
              <w:pStyle w:val="50"/>
              <w:bidi w:val="0"/>
              <w:rPr>
                <w:rFonts w:hint="eastAsia"/>
                <w:b/>
                <w:bCs/>
              </w:rPr>
            </w:pPr>
            <w:r>
              <w:rPr>
                <w:rFonts w:hint="eastAsia"/>
                <w:b/>
                <w:bCs/>
                <w:lang w:val="en-US" w:eastAsia="zh-CN"/>
              </w:rPr>
              <w:t>(0分)</w:t>
            </w:r>
          </w:p>
        </w:tc>
      </w:tr>
      <w:tr w14:paraId="1A5867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90" w:hRule="atLeast"/>
        </w:trPr>
        <w:tc>
          <w:tcPr>
            <w:tcW w:w="623" w:type="pct"/>
            <w:tcBorders>
              <w:top w:val="single" w:color="000000" w:sz="4" w:space="0"/>
              <w:left w:val="single" w:color="000000" w:sz="4" w:space="0"/>
              <w:bottom w:val="single" w:color="000000" w:sz="4" w:space="0"/>
              <w:right w:val="single" w:color="000000" w:sz="4" w:space="0"/>
            </w:tcBorders>
            <w:vAlign w:val="center"/>
          </w:tcPr>
          <w:p w14:paraId="0843C80C">
            <w:pPr>
              <w:pStyle w:val="50"/>
              <w:bidi w:val="0"/>
              <w:rPr>
                <w:rFonts w:hint="eastAsia"/>
                <w:b/>
                <w:bCs/>
              </w:rPr>
            </w:pPr>
            <w:r>
              <w:rPr>
                <w:rFonts w:hint="eastAsia"/>
                <w:b/>
                <w:bCs/>
                <w:lang w:val="en-US" w:eastAsia="zh-CN"/>
              </w:rPr>
              <w:t>1</w:t>
            </w:r>
          </w:p>
        </w:tc>
        <w:tc>
          <w:tcPr>
            <w:tcW w:w="1243" w:type="pct"/>
            <w:tcBorders>
              <w:top w:val="single" w:color="000000" w:sz="4" w:space="0"/>
              <w:left w:val="single" w:color="000000" w:sz="4" w:space="0"/>
              <w:bottom w:val="single" w:color="000000" w:sz="4" w:space="0"/>
              <w:right w:val="single" w:color="000000" w:sz="4" w:space="0"/>
            </w:tcBorders>
            <w:vAlign w:val="center"/>
          </w:tcPr>
          <w:p w14:paraId="7E9E5213">
            <w:pPr>
              <w:pStyle w:val="50"/>
              <w:bidi w:val="0"/>
              <w:rPr>
                <w:rFonts w:hint="eastAsia"/>
                <w:b/>
                <w:bCs/>
              </w:rPr>
            </w:pPr>
            <w:r>
              <w:rPr>
                <w:rFonts w:hint="eastAsia"/>
                <w:b/>
                <w:bCs/>
                <w:lang w:val="en-US" w:eastAsia="zh-CN"/>
              </w:rPr>
              <w:t>采购信息公告</w:t>
            </w:r>
          </w:p>
        </w:tc>
        <w:tc>
          <w:tcPr>
            <w:tcW w:w="782" w:type="pct"/>
            <w:tcBorders>
              <w:top w:val="single" w:color="000000" w:sz="4" w:space="0"/>
              <w:left w:val="single" w:color="000000" w:sz="4" w:space="0"/>
              <w:bottom w:val="single" w:color="000000" w:sz="4" w:space="0"/>
              <w:right w:val="single" w:color="000000" w:sz="4" w:space="0"/>
            </w:tcBorders>
            <w:vAlign w:val="center"/>
          </w:tcPr>
          <w:p w14:paraId="5F4356D8">
            <w:pPr>
              <w:pStyle w:val="50"/>
              <w:bidi w:val="0"/>
              <w:rPr>
                <w:rFonts w:hint="eastAsia"/>
                <w:b/>
                <w:bCs/>
              </w:rPr>
            </w:pPr>
          </w:p>
        </w:tc>
        <w:tc>
          <w:tcPr>
            <w:tcW w:w="782" w:type="pct"/>
            <w:tcBorders>
              <w:top w:val="single" w:color="000000" w:sz="4" w:space="0"/>
              <w:left w:val="single" w:color="000000" w:sz="4" w:space="0"/>
              <w:bottom w:val="single" w:color="000000" w:sz="4" w:space="0"/>
              <w:right w:val="single" w:color="000000" w:sz="4" w:space="0"/>
            </w:tcBorders>
            <w:vAlign w:val="center"/>
          </w:tcPr>
          <w:p w14:paraId="206C5239">
            <w:pPr>
              <w:pStyle w:val="50"/>
              <w:bidi w:val="0"/>
              <w:rPr>
                <w:rFonts w:hint="eastAsia"/>
                <w:b/>
                <w:bCs/>
              </w:rPr>
            </w:pPr>
          </w:p>
        </w:tc>
        <w:tc>
          <w:tcPr>
            <w:tcW w:w="782" w:type="pct"/>
            <w:tcBorders>
              <w:top w:val="single" w:color="000000" w:sz="4" w:space="0"/>
              <w:left w:val="single" w:color="000000" w:sz="4" w:space="0"/>
              <w:bottom w:val="single" w:color="000000" w:sz="4" w:space="0"/>
              <w:right w:val="single" w:color="000000" w:sz="4" w:space="0"/>
            </w:tcBorders>
            <w:vAlign w:val="center"/>
          </w:tcPr>
          <w:p w14:paraId="4F827E0E">
            <w:pPr>
              <w:pStyle w:val="50"/>
              <w:bidi w:val="0"/>
              <w:rPr>
                <w:rFonts w:hint="eastAsia"/>
                <w:b/>
                <w:bCs/>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61CA929A">
            <w:pPr>
              <w:pStyle w:val="50"/>
              <w:bidi w:val="0"/>
              <w:rPr>
                <w:rFonts w:hint="eastAsia"/>
                <w:b/>
                <w:bCs/>
              </w:rPr>
            </w:pPr>
          </w:p>
        </w:tc>
      </w:tr>
      <w:tr w14:paraId="177CD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90" w:hRule="atLeast"/>
        </w:trPr>
        <w:tc>
          <w:tcPr>
            <w:tcW w:w="623" w:type="pct"/>
            <w:tcBorders>
              <w:top w:val="single" w:color="000000" w:sz="4" w:space="0"/>
              <w:left w:val="single" w:color="000000" w:sz="4" w:space="0"/>
              <w:bottom w:val="single" w:color="000000" w:sz="4" w:space="0"/>
              <w:right w:val="single" w:color="000000" w:sz="4" w:space="0"/>
            </w:tcBorders>
            <w:vAlign w:val="center"/>
          </w:tcPr>
          <w:p w14:paraId="43C45722">
            <w:pPr>
              <w:pStyle w:val="50"/>
              <w:bidi w:val="0"/>
              <w:rPr>
                <w:rFonts w:hint="eastAsia"/>
                <w:b/>
                <w:bCs/>
              </w:rPr>
            </w:pPr>
            <w:r>
              <w:rPr>
                <w:rFonts w:hint="eastAsia"/>
                <w:b/>
                <w:bCs/>
                <w:lang w:val="en-US" w:eastAsia="zh-CN"/>
              </w:rPr>
              <w:t>2</w:t>
            </w:r>
          </w:p>
        </w:tc>
        <w:tc>
          <w:tcPr>
            <w:tcW w:w="1243" w:type="pct"/>
            <w:tcBorders>
              <w:top w:val="single" w:color="000000" w:sz="4" w:space="0"/>
              <w:left w:val="single" w:color="000000" w:sz="4" w:space="0"/>
              <w:bottom w:val="single" w:color="000000" w:sz="4" w:space="0"/>
              <w:right w:val="single" w:color="000000" w:sz="4" w:space="0"/>
            </w:tcBorders>
            <w:vAlign w:val="center"/>
          </w:tcPr>
          <w:p w14:paraId="4ED2E322">
            <w:pPr>
              <w:pStyle w:val="50"/>
              <w:bidi w:val="0"/>
              <w:rPr>
                <w:rFonts w:hint="default"/>
                <w:b/>
                <w:bCs/>
                <w:lang w:val="en-US"/>
              </w:rPr>
            </w:pPr>
            <w:r>
              <w:rPr>
                <w:rFonts w:hint="eastAsia"/>
                <w:b/>
                <w:bCs/>
                <w:lang w:val="en-US" w:eastAsia="zh-CN"/>
              </w:rPr>
              <w:t>询问答复(如涉及)</w:t>
            </w:r>
          </w:p>
        </w:tc>
        <w:tc>
          <w:tcPr>
            <w:tcW w:w="782" w:type="pct"/>
            <w:tcBorders>
              <w:top w:val="single" w:color="000000" w:sz="4" w:space="0"/>
              <w:left w:val="single" w:color="000000" w:sz="4" w:space="0"/>
              <w:bottom w:val="single" w:color="000000" w:sz="4" w:space="0"/>
              <w:right w:val="single" w:color="000000" w:sz="4" w:space="0"/>
            </w:tcBorders>
            <w:vAlign w:val="center"/>
          </w:tcPr>
          <w:p w14:paraId="1D07C872">
            <w:pPr>
              <w:pStyle w:val="50"/>
              <w:bidi w:val="0"/>
              <w:rPr>
                <w:rFonts w:hint="eastAsia"/>
                <w:b/>
                <w:bCs/>
              </w:rPr>
            </w:pPr>
          </w:p>
        </w:tc>
        <w:tc>
          <w:tcPr>
            <w:tcW w:w="782" w:type="pct"/>
            <w:tcBorders>
              <w:top w:val="single" w:color="000000" w:sz="4" w:space="0"/>
              <w:left w:val="single" w:color="000000" w:sz="4" w:space="0"/>
              <w:bottom w:val="single" w:color="000000" w:sz="4" w:space="0"/>
              <w:right w:val="single" w:color="000000" w:sz="4" w:space="0"/>
            </w:tcBorders>
            <w:vAlign w:val="center"/>
          </w:tcPr>
          <w:p w14:paraId="4B065428">
            <w:pPr>
              <w:pStyle w:val="50"/>
              <w:bidi w:val="0"/>
              <w:rPr>
                <w:rFonts w:hint="eastAsia"/>
                <w:b/>
                <w:bCs/>
              </w:rPr>
            </w:pPr>
          </w:p>
        </w:tc>
        <w:tc>
          <w:tcPr>
            <w:tcW w:w="782" w:type="pct"/>
            <w:tcBorders>
              <w:top w:val="single" w:color="000000" w:sz="4" w:space="0"/>
              <w:left w:val="single" w:color="000000" w:sz="4" w:space="0"/>
              <w:bottom w:val="single" w:color="000000" w:sz="4" w:space="0"/>
              <w:right w:val="single" w:color="000000" w:sz="4" w:space="0"/>
            </w:tcBorders>
            <w:vAlign w:val="center"/>
          </w:tcPr>
          <w:p w14:paraId="5F32210D">
            <w:pPr>
              <w:pStyle w:val="50"/>
              <w:bidi w:val="0"/>
              <w:rPr>
                <w:rFonts w:hint="eastAsia"/>
                <w:b/>
                <w:bCs/>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1BE7D6A2">
            <w:pPr>
              <w:pStyle w:val="50"/>
              <w:bidi w:val="0"/>
              <w:rPr>
                <w:rFonts w:hint="eastAsia"/>
                <w:b/>
                <w:bCs/>
              </w:rPr>
            </w:pPr>
          </w:p>
        </w:tc>
      </w:tr>
      <w:tr w14:paraId="65D72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90" w:hRule="atLeast"/>
        </w:trPr>
        <w:tc>
          <w:tcPr>
            <w:tcW w:w="623" w:type="pct"/>
            <w:tcBorders>
              <w:top w:val="single" w:color="000000" w:sz="4" w:space="0"/>
              <w:left w:val="single" w:color="000000" w:sz="4" w:space="0"/>
              <w:bottom w:val="single" w:color="000000" w:sz="4" w:space="0"/>
              <w:right w:val="single" w:color="000000" w:sz="4" w:space="0"/>
            </w:tcBorders>
            <w:vAlign w:val="center"/>
          </w:tcPr>
          <w:p w14:paraId="32DC96CA">
            <w:pPr>
              <w:pStyle w:val="50"/>
              <w:bidi w:val="0"/>
              <w:rPr>
                <w:rFonts w:hint="eastAsia"/>
                <w:b/>
                <w:bCs/>
              </w:rPr>
            </w:pPr>
            <w:r>
              <w:rPr>
                <w:rFonts w:hint="eastAsia"/>
                <w:b/>
                <w:bCs/>
                <w:lang w:val="en-US" w:eastAsia="zh-CN"/>
              </w:rPr>
              <w:t>3</w:t>
            </w:r>
          </w:p>
        </w:tc>
        <w:tc>
          <w:tcPr>
            <w:tcW w:w="1243" w:type="pct"/>
            <w:tcBorders>
              <w:top w:val="single" w:color="000000" w:sz="4" w:space="0"/>
              <w:left w:val="single" w:color="000000" w:sz="4" w:space="0"/>
              <w:bottom w:val="single" w:color="000000" w:sz="4" w:space="0"/>
              <w:right w:val="single" w:color="000000" w:sz="4" w:space="0"/>
            </w:tcBorders>
            <w:vAlign w:val="center"/>
          </w:tcPr>
          <w:p w14:paraId="2272000D">
            <w:pPr>
              <w:pStyle w:val="50"/>
              <w:bidi w:val="0"/>
              <w:rPr>
                <w:rFonts w:hint="eastAsia"/>
                <w:b/>
                <w:bCs/>
              </w:rPr>
            </w:pPr>
            <w:r>
              <w:rPr>
                <w:rFonts w:hint="eastAsia"/>
                <w:b/>
                <w:bCs/>
                <w:lang w:val="en-US" w:eastAsia="zh-CN"/>
              </w:rPr>
              <w:t>服务态度</w:t>
            </w:r>
          </w:p>
        </w:tc>
        <w:tc>
          <w:tcPr>
            <w:tcW w:w="782" w:type="pct"/>
            <w:tcBorders>
              <w:top w:val="single" w:color="000000" w:sz="4" w:space="0"/>
              <w:left w:val="single" w:color="000000" w:sz="4" w:space="0"/>
              <w:bottom w:val="single" w:color="000000" w:sz="4" w:space="0"/>
              <w:right w:val="single" w:color="000000" w:sz="4" w:space="0"/>
            </w:tcBorders>
            <w:vAlign w:val="center"/>
          </w:tcPr>
          <w:p w14:paraId="14822204">
            <w:pPr>
              <w:pStyle w:val="50"/>
              <w:bidi w:val="0"/>
              <w:rPr>
                <w:rFonts w:hint="eastAsia"/>
                <w:b/>
                <w:bCs/>
              </w:rPr>
            </w:pPr>
          </w:p>
        </w:tc>
        <w:tc>
          <w:tcPr>
            <w:tcW w:w="782" w:type="pct"/>
            <w:tcBorders>
              <w:top w:val="single" w:color="000000" w:sz="4" w:space="0"/>
              <w:left w:val="single" w:color="000000" w:sz="4" w:space="0"/>
              <w:bottom w:val="single" w:color="000000" w:sz="4" w:space="0"/>
              <w:right w:val="single" w:color="000000" w:sz="4" w:space="0"/>
            </w:tcBorders>
            <w:vAlign w:val="center"/>
          </w:tcPr>
          <w:p w14:paraId="1D9C591C">
            <w:pPr>
              <w:pStyle w:val="50"/>
              <w:bidi w:val="0"/>
              <w:rPr>
                <w:rFonts w:hint="eastAsia"/>
                <w:b/>
                <w:bCs/>
              </w:rPr>
            </w:pPr>
          </w:p>
        </w:tc>
        <w:tc>
          <w:tcPr>
            <w:tcW w:w="782" w:type="pct"/>
            <w:tcBorders>
              <w:top w:val="single" w:color="000000" w:sz="4" w:space="0"/>
              <w:left w:val="single" w:color="000000" w:sz="4" w:space="0"/>
              <w:bottom w:val="single" w:color="000000" w:sz="4" w:space="0"/>
              <w:right w:val="single" w:color="000000" w:sz="4" w:space="0"/>
            </w:tcBorders>
            <w:vAlign w:val="center"/>
          </w:tcPr>
          <w:p w14:paraId="1D38744B">
            <w:pPr>
              <w:pStyle w:val="50"/>
              <w:bidi w:val="0"/>
              <w:rPr>
                <w:rFonts w:hint="eastAsia"/>
                <w:b/>
                <w:bCs/>
              </w:rPr>
            </w:pPr>
          </w:p>
        </w:tc>
        <w:tc>
          <w:tcPr>
            <w:tcW w:w="783" w:type="pct"/>
            <w:tcBorders>
              <w:top w:val="single" w:color="000000" w:sz="4" w:space="0"/>
              <w:left w:val="single" w:color="000000" w:sz="4" w:space="0"/>
              <w:bottom w:val="single" w:color="000000" w:sz="4" w:space="0"/>
              <w:right w:val="single" w:color="000000" w:sz="4" w:space="0"/>
            </w:tcBorders>
            <w:vAlign w:val="center"/>
          </w:tcPr>
          <w:p w14:paraId="46B53576">
            <w:pPr>
              <w:pStyle w:val="50"/>
              <w:bidi w:val="0"/>
              <w:rPr>
                <w:rFonts w:hint="eastAsia"/>
                <w:b/>
                <w:bCs/>
              </w:rPr>
            </w:pPr>
          </w:p>
        </w:tc>
      </w:tr>
      <w:tr w14:paraId="3248E4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80"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4785D1A2">
            <w:pPr>
              <w:pStyle w:val="47"/>
              <w:bidi w:val="0"/>
              <w:rPr>
                <w:rFonts w:hint="eastAsia"/>
                <w:b/>
                <w:bCs/>
              </w:rPr>
            </w:pPr>
            <w:r>
              <w:rPr>
                <w:rFonts w:hint="eastAsia"/>
                <w:b/>
                <w:bCs/>
                <w:lang w:val="en-US" w:eastAsia="zh-CN"/>
              </w:rPr>
              <w:t>对代理机构工作的其他建议：</w:t>
            </w:r>
          </w:p>
        </w:tc>
      </w:tr>
      <w:tr w14:paraId="7E16C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106" w:hRule="atLeast"/>
        </w:trPr>
        <w:tc>
          <w:tcPr>
            <w:tcW w:w="5000" w:type="pct"/>
            <w:gridSpan w:val="6"/>
            <w:tcBorders>
              <w:top w:val="single" w:color="000000" w:sz="4" w:space="0"/>
              <w:left w:val="single" w:color="000000" w:sz="4" w:space="0"/>
              <w:bottom w:val="single" w:color="000000" w:sz="4" w:space="0"/>
              <w:right w:val="single" w:color="000000" w:sz="4" w:space="0"/>
            </w:tcBorders>
            <w:vAlign w:val="center"/>
          </w:tcPr>
          <w:p w14:paraId="1A6C0EF3">
            <w:pPr>
              <w:pStyle w:val="47"/>
              <w:bidi w:val="0"/>
              <w:rPr>
                <w:rFonts w:hint="eastAsia"/>
                <w:b/>
                <w:bCs/>
              </w:rPr>
            </w:pPr>
          </w:p>
        </w:tc>
      </w:tr>
      <w:tr w14:paraId="43B78C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811" w:hRule="atLeast"/>
        </w:trPr>
        <w:tc>
          <w:tcPr>
            <w:tcW w:w="5000" w:type="pct"/>
            <w:gridSpan w:val="6"/>
            <w:tcBorders>
              <w:top w:val="single" w:color="000000" w:sz="4" w:space="0"/>
              <w:left w:val="single" w:color="000000" w:sz="4" w:space="0"/>
              <w:bottom w:val="single" w:color="000000" w:sz="4" w:space="0"/>
              <w:right w:val="single" w:color="000000" w:sz="4" w:space="0"/>
            </w:tcBorders>
            <w:vAlign w:val="bottom"/>
          </w:tcPr>
          <w:p w14:paraId="4AA0731A">
            <w:pPr>
              <w:pStyle w:val="47"/>
              <w:bidi w:val="0"/>
              <w:jc w:val="right"/>
              <w:rPr>
                <w:rFonts w:hint="eastAsia"/>
                <w:b/>
                <w:bCs/>
                <w:lang w:val="en-US" w:eastAsia="zh-CN"/>
              </w:rPr>
            </w:pPr>
            <w:r>
              <w:rPr>
                <w:rFonts w:hint="eastAsia"/>
                <w:b/>
                <w:bCs/>
                <w:lang w:val="en-US" w:eastAsia="zh-CN"/>
              </w:rPr>
              <w:t>供应商名称：</w:t>
            </w:r>
            <w:r>
              <w:rPr>
                <w:rFonts w:hint="eastAsia"/>
                <w:b/>
                <w:bCs/>
                <w:u w:val="single"/>
                <w:lang w:val="en-US" w:eastAsia="zh-CN"/>
              </w:rPr>
              <w:t xml:space="preserve">                     </w:t>
            </w:r>
            <w:r>
              <w:rPr>
                <w:rFonts w:hint="eastAsia"/>
                <w:b/>
                <w:bCs/>
                <w:lang w:val="en-US" w:eastAsia="zh-CN"/>
              </w:rPr>
              <w:t>(加盖鲜章)</w:t>
            </w:r>
          </w:p>
        </w:tc>
      </w:tr>
    </w:tbl>
    <w:p w14:paraId="311216BB">
      <w:pPr>
        <w:pStyle w:val="53"/>
        <w:bidi w:val="0"/>
        <w:rPr>
          <w:rFonts w:hint="eastAsia"/>
          <w:lang w:val="en-US" w:eastAsia="zh-CN"/>
        </w:rPr>
      </w:pPr>
      <w:r>
        <w:rPr>
          <w:rFonts w:hint="eastAsia"/>
          <w:lang w:val="en-US" w:eastAsia="zh-CN"/>
        </w:rPr>
        <w:t>说明：请贵公司根据采购代理机构2026年度采购项目的实际情况，在“满意”、“基本满意”、“一般”、“不满意”四个评价档次栏中选取一栏打“√”，并加盖鲜章。</w:t>
      </w:r>
    </w:p>
    <w:p w14:paraId="19ED20BE">
      <w:pPr>
        <w:rPr>
          <w:rFonts w:hint="eastAsia"/>
          <w:lang w:val="en-US" w:eastAsia="zh-CN"/>
        </w:rPr>
      </w:pPr>
      <w:r>
        <w:rPr>
          <w:rFonts w:hint="eastAsia"/>
          <w:lang w:val="en-US" w:eastAsia="zh-CN"/>
        </w:rPr>
        <w:br w:type="page"/>
      </w:r>
    </w:p>
    <w:p w14:paraId="186033A5">
      <w:pPr>
        <w:pStyle w:val="40"/>
        <w:keepNext w:val="0"/>
        <w:keepLines w:val="0"/>
        <w:pageBreakBefore w:val="0"/>
        <w:widowControl w:val="0"/>
        <w:numPr>
          <w:ilvl w:val="1"/>
          <w:numId w:val="0"/>
        </w:numPr>
        <w:kinsoku/>
        <w:wordWrap w:val="0"/>
        <w:overflowPunct/>
        <w:topLinePunct/>
        <w:autoSpaceDE/>
        <w:autoSpaceDN/>
        <w:bidi w:val="0"/>
        <w:adjustRightInd w:val="0"/>
        <w:snapToGrid w:val="0"/>
        <w:ind w:leftChars="0" w:firstLine="482" w:firstLineChars="200"/>
        <w:textAlignment w:val="auto"/>
        <w:rPr>
          <w:rFonts w:hint="eastAsia" w:asciiTheme="minorEastAsia" w:hAnsiTheme="minorEastAsia" w:eastAsiaTheme="minorEastAsia" w:cstheme="minorEastAsia"/>
          <w:color w:val="000000"/>
          <w:sz w:val="24"/>
          <w:szCs w:val="24"/>
          <w:lang w:val="en-US" w:eastAsia="zh-CN"/>
        </w:rPr>
      </w:pPr>
      <w:bookmarkStart w:id="847" w:name="_Toc18483"/>
      <w:bookmarkStart w:id="848" w:name="_Toc28340"/>
      <w:bookmarkStart w:id="849" w:name="_Toc5373"/>
      <w:r>
        <w:rPr>
          <w:rFonts w:hint="eastAsia" w:asciiTheme="minorEastAsia" w:hAnsiTheme="minorEastAsia" w:eastAsiaTheme="minorEastAsia" w:cstheme="minorEastAsia"/>
          <w:color w:val="000000"/>
          <w:sz w:val="24"/>
          <w:szCs w:val="24"/>
          <w:lang w:val="en-US" w:eastAsia="zh-CN"/>
        </w:rPr>
        <w:t>附件四：统计上大中小微型企业划分标准</w:t>
      </w:r>
      <w:bookmarkEnd w:id="847"/>
      <w:bookmarkEnd w:id="848"/>
      <w:bookmarkEnd w:id="849"/>
    </w:p>
    <w:tbl>
      <w:tblPr>
        <w:tblStyle w:val="25"/>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12"/>
        <w:gridCol w:w="1236"/>
        <w:gridCol w:w="636"/>
        <w:gridCol w:w="1015"/>
        <w:gridCol w:w="1536"/>
        <w:gridCol w:w="1287"/>
        <w:gridCol w:w="895"/>
      </w:tblGrid>
      <w:tr w14:paraId="55D5E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exact"/>
          <w:jc w:val="center"/>
        </w:trPr>
        <w:tc>
          <w:tcPr>
            <w:tcW w:w="1121" w:type="pct"/>
            <w:noWrap w:val="0"/>
            <w:vAlign w:val="center"/>
          </w:tcPr>
          <w:p w14:paraId="4BE54B70">
            <w:pPr>
              <w:widowControl/>
              <w:spacing w:line="240" w:lineRule="exact"/>
              <w:jc w:val="center"/>
              <w:rPr>
                <w:rFonts w:ascii="宋体" w:hAnsi="宋体" w:cs="宋体"/>
                <w:b/>
                <w:bCs/>
                <w:color w:val="000000"/>
                <w:kern w:val="0"/>
                <w:sz w:val="15"/>
                <w:szCs w:val="15"/>
              </w:rPr>
            </w:pPr>
            <w:r>
              <w:rPr>
                <w:rFonts w:hint="eastAsia" w:ascii="宋体" w:hAnsi="宋体" w:cs="宋体"/>
                <w:b/>
                <w:bCs/>
                <w:color w:val="000000"/>
                <w:kern w:val="0"/>
                <w:sz w:val="15"/>
                <w:szCs w:val="15"/>
              </w:rPr>
              <w:t>行业名称</w:t>
            </w:r>
          </w:p>
        </w:tc>
        <w:tc>
          <w:tcPr>
            <w:tcW w:w="725" w:type="pct"/>
            <w:noWrap w:val="0"/>
            <w:vAlign w:val="center"/>
          </w:tcPr>
          <w:p w14:paraId="2AA43A49">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指标名称</w:t>
            </w:r>
          </w:p>
        </w:tc>
        <w:tc>
          <w:tcPr>
            <w:tcW w:w="373" w:type="pct"/>
            <w:noWrap w:val="0"/>
            <w:vAlign w:val="center"/>
          </w:tcPr>
          <w:p w14:paraId="6EBAB358">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计量</w:t>
            </w:r>
            <w:r>
              <w:rPr>
                <w:rFonts w:hint="eastAsia" w:ascii="宋体" w:hAnsi="宋体" w:cs="宋体"/>
                <w:b/>
                <w:bCs/>
                <w:color w:val="000000"/>
                <w:kern w:val="0"/>
                <w:sz w:val="15"/>
                <w:szCs w:val="15"/>
              </w:rPr>
              <w:br w:type="textWrapping"/>
            </w:r>
            <w:r>
              <w:rPr>
                <w:rFonts w:hint="eastAsia" w:ascii="宋体" w:hAnsi="宋体" w:cs="宋体"/>
                <w:b/>
                <w:bCs/>
                <w:color w:val="000000"/>
                <w:kern w:val="0"/>
                <w:sz w:val="15"/>
                <w:szCs w:val="15"/>
              </w:rPr>
              <w:t>单位</w:t>
            </w:r>
          </w:p>
        </w:tc>
        <w:tc>
          <w:tcPr>
            <w:tcW w:w="595" w:type="pct"/>
            <w:noWrap w:val="0"/>
            <w:vAlign w:val="center"/>
          </w:tcPr>
          <w:p w14:paraId="3E737316">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大型</w:t>
            </w:r>
          </w:p>
        </w:tc>
        <w:tc>
          <w:tcPr>
            <w:tcW w:w="901" w:type="pct"/>
            <w:noWrap w:val="0"/>
            <w:vAlign w:val="center"/>
          </w:tcPr>
          <w:p w14:paraId="56E2A794">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中型</w:t>
            </w:r>
          </w:p>
        </w:tc>
        <w:tc>
          <w:tcPr>
            <w:tcW w:w="755" w:type="pct"/>
            <w:noWrap w:val="0"/>
            <w:vAlign w:val="center"/>
          </w:tcPr>
          <w:p w14:paraId="1BC74DC9">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小型</w:t>
            </w:r>
          </w:p>
        </w:tc>
        <w:tc>
          <w:tcPr>
            <w:tcW w:w="525" w:type="pct"/>
            <w:noWrap w:val="0"/>
            <w:vAlign w:val="center"/>
          </w:tcPr>
          <w:p w14:paraId="47B11291">
            <w:pPr>
              <w:widowControl/>
              <w:jc w:val="center"/>
              <w:rPr>
                <w:rFonts w:ascii="宋体" w:hAnsi="宋体" w:cs="宋体"/>
                <w:b/>
                <w:bCs/>
                <w:color w:val="000000"/>
                <w:kern w:val="0"/>
                <w:sz w:val="15"/>
                <w:szCs w:val="15"/>
              </w:rPr>
            </w:pPr>
            <w:r>
              <w:rPr>
                <w:rFonts w:hint="eastAsia" w:ascii="宋体" w:hAnsi="宋体" w:cs="宋体"/>
                <w:b/>
                <w:bCs/>
                <w:color w:val="000000"/>
                <w:kern w:val="0"/>
                <w:sz w:val="15"/>
                <w:szCs w:val="15"/>
              </w:rPr>
              <w:t>微型</w:t>
            </w:r>
          </w:p>
        </w:tc>
      </w:tr>
      <w:tr w14:paraId="5E123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noWrap w:val="0"/>
            <w:vAlign w:val="center"/>
          </w:tcPr>
          <w:p w14:paraId="09528AAB">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农、林、牧、渔业</w:t>
            </w:r>
          </w:p>
        </w:tc>
        <w:tc>
          <w:tcPr>
            <w:tcW w:w="725" w:type="pct"/>
            <w:noWrap w:val="0"/>
            <w:vAlign w:val="center"/>
          </w:tcPr>
          <w:p w14:paraId="5226F28E">
            <w:pPr>
              <w:widowControl/>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55C84169">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0FE5B1F8">
            <w:pPr>
              <w:widowControl/>
              <w:jc w:val="center"/>
              <w:rPr>
                <w:rFonts w:ascii="宋体" w:hAnsi="宋体" w:cs="宋体"/>
                <w:color w:val="000000"/>
                <w:kern w:val="0"/>
                <w:sz w:val="15"/>
                <w:szCs w:val="15"/>
              </w:rPr>
            </w:pPr>
            <w:r>
              <w:rPr>
                <w:rFonts w:hint="eastAsia" w:ascii="宋体" w:hAnsi="宋体" w:cs="宋体"/>
                <w:color w:val="000000"/>
                <w:kern w:val="0"/>
                <w:sz w:val="15"/>
                <w:szCs w:val="15"/>
              </w:rPr>
              <w:t>Y≥20000</w:t>
            </w:r>
          </w:p>
        </w:tc>
        <w:tc>
          <w:tcPr>
            <w:tcW w:w="901" w:type="pct"/>
            <w:noWrap w:val="0"/>
            <w:vAlign w:val="center"/>
          </w:tcPr>
          <w:p w14:paraId="6B8D34B6">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500≤Y＜20000</w:t>
            </w:r>
          </w:p>
        </w:tc>
        <w:tc>
          <w:tcPr>
            <w:tcW w:w="755" w:type="pct"/>
            <w:noWrap w:val="0"/>
            <w:vAlign w:val="center"/>
          </w:tcPr>
          <w:p w14:paraId="0DF4DF52">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50≤Y＜500</w:t>
            </w:r>
          </w:p>
        </w:tc>
        <w:tc>
          <w:tcPr>
            <w:tcW w:w="525" w:type="pct"/>
            <w:noWrap w:val="0"/>
            <w:vAlign w:val="center"/>
          </w:tcPr>
          <w:p w14:paraId="0CF57401">
            <w:pPr>
              <w:widowControl/>
              <w:jc w:val="center"/>
              <w:rPr>
                <w:rFonts w:ascii="宋体" w:hAnsi="宋体" w:cs="宋体"/>
                <w:color w:val="000000"/>
                <w:kern w:val="0"/>
                <w:sz w:val="15"/>
                <w:szCs w:val="15"/>
              </w:rPr>
            </w:pPr>
            <w:r>
              <w:rPr>
                <w:rFonts w:hint="eastAsia" w:ascii="宋体" w:hAnsi="宋体" w:cs="宋体"/>
                <w:color w:val="000000"/>
                <w:kern w:val="0"/>
                <w:sz w:val="15"/>
                <w:szCs w:val="15"/>
              </w:rPr>
              <w:t>Y＜50</w:t>
            </w:r>
          </w:p>
        </w:tc>
      </w:tr>
      <w:tr w14:paraId="59527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restart"/>
            <w:noWrap w:val="0"/>
            <w:vAlign w:val="center"/>
          </w:tcPr>
          <w:p w14:paraId="683567EA">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工业 *</w:t>
            </w:r>
          </w:p>
        </w:tc>
        <w:tc>
          <w:tcPr>
            <w:tcW w:w="725" w:type="pct"/>
            <w:noWrap w:val="0"/>
            <w:vAlign w:val="center"/>
          </w:tcPr>
          <w:p w14:paraId="588D4D1B">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569ABFE6">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117F89D2">
            <w:pPr>
              <w:widowControl/>
              <w:jc w:val="center"/>
              <w:rPr>
                <w:rFonts w:ascii="宋体" w:hAnsi="宋体" w:cs="宋体"/>
                <w:color w:val="000000"/>
                <w:kern w:val="0"/>
                <w:sz w:val="15"/>
                <w:szCs w:val="15"/>
              </w:rPr>
            </w:pPr>
            <w:r>
              <w:rPr>
                <w:rFonts w:hint="eastAsia" w:ascii="宋体" w:hAnsi="宋体" w:cs="宋体"/>
                <w:color w:val="000000"/>
                <w:kern w:val="0"/>
                <w:sz w:val="15"/>
                <w:szCs w:val="15"/>
              </w:rPr>
              <w:t>X≥1000</w:t>
            </w:r>
          </w:p>
        </w:tc>
        <w:tc>
          <w:tcPr>
            <w:tcW w:w="901" w:type="pct"/>
            <w:noWrap w:val="0"/>
            <w:vAlign w:val="center"/>
          </w:tcPr>
          <w:p w14:paraId="08740A10">
            <w:pPr>
              <w:widowControl/>
              <w:jc w:val="center"/>
              <w:rPr>
                <w:rFonts w:ascii="宋体" w:hAnsi="宋体" w:cs="宋体"/>
                <w:color w:val="000000"/>
                <w:kern w:val="0"/>
                <w:sz w:val="15"/>
                <w:szCs w:val="15"/>
              </w:rPr>
            </w:pPr>
            <w:r>
              <w:rPr>
                <w:rFonts w:hint="eastAsia" w:ascii="宋体" w:hAnsi="宋体" w:cs="宋体"/>
                <w:color w:val="000000"/>
                <w:kern w:val="0"/>
                <w:sz w:val="15"/>
                <w:szCs w:val="15"/>
              </w:rPr>
              <w:t>300≤X＜1000</w:t>
            </w:r>
          </w:p>
        </w:tc>
        <w:tc>
          <w:tcPr>
            <w:tcW w:w="755" w:type="pct"/>
            <w:noWrap w:val="0"/>
            <w:vAlign w:val="center"/>
          </w:tcPr>
          <w:p w14:paraId="2341DD80">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20≤X＜300</w:t>
            </w:r>
          </w:p>
        </w:tc>
        <w:tc>
          <w:tcPr>
            <w:tcW w:w="525" w:type="pct"/>
            <w:noWrap w:val="0"/>
            <w:vAlign w:val="center"/>
          </w:tcPr>
          <w:p w14:paraId="72EF4FDC">
            <w:pPr>
              <w:widowControl/>
              <w:jc w:val="center"/>
              <w:rPr>
                <w:rFonts w:ascii="宋体" w:hAnsi="宋体" w:cs="宋体"/>
                <w:color w:val="000000"/>
                <w:kern w:val="0"/>
                <w:sz w:val="15"/>
                <w:szCs w:val="15"/>
              </w:rPr>
            </w:pPr>
            <w:r>
              <w:rPr>
                <w:rFonts w:hint="eastAsia" w:ascii="宋体" w:hAnsi="宋体" w:cs="宋体"/>
                <w:color w:val="000000"/>
                <w:kern w:val="0"/>
                <w:sz w:val="15"/>
                <w:szCs w:val="15"/>
              </w:rPr>
              <w:t>X＜20</w:t>
            </w:r>
          </w:p>
        </w:tc>
      </w:tr>
      <w:tr w14:paraId="616D99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continue"/>
            <w:noWrap w:val="0"/>
            <w:vAlign w:val="center"/>
          </w:tcPr>
          <w:p w14:paraId="70712FAF">
            <w:pPr>
              <w:widowControl/>
              <w:jc w:val="left"/>
              <w:rPr>
                <w:rFonts w:ascii="宋体" w:hAnsi="宋体" w:cs="宋体"/>
                <w:color w:val="000000"/>
                <w:kern w:val="0"/>
                <w:sz w:val="15"/>
                <w:szCs w:val="15"/>
              </w:rPr>
            </w:pPr>
          </w:p>
        </w:tc>
        <w:tc>
          <w:tcPr>
            <w:tcW w:w="725" w:type="pct"/>
            <w:noWrap w:val="0"/>
            <w:vAlign w:val="center"/>
          </w:tcPr>
          <w:p w14:paraId="6C2E3847">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00A44379">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7ADCBCDF">
            <w:pPr>
              <w:widowControl/>
              <w:jc w:val="center"/>
              <w:rPr>
                <w:rFonts w:ascii="宋体" w:hAnsi="宋体" w:cs="宋体"/>
                <w:color w:val="000000"/>
                <w:kern w:val="0"/>
                <w:sz w:val="15"/>
                <w:szCs w:val="15"/>
              </w:rPr>
            </w:pPr>
            <w:r>
              <w:rPr>
                <w:rFonts w:hint="eastAsia" w:ascii="宋体" w:hAnsi="宋体" w:cs="宋体"/>
                <w:color w:val="000000"/>
                <w:kern w:val="0"/>
                <w:sz w:val="15"/>
                <w:szCs w:val="15"/>
              </w:rPr>
              <w:t>Y≥40000</w:t>
            </w:r>
          </w:p>
        </w:tc>
        <w:tc>
          <w:tcPr>
            <w:tcW w:w="901" w:type="pct"/>
            <w:noWrap w:val="0"/>
            <w:vAlign w:val="center"/>
          </w:tcPr>
          <w:p w14:paraId="3FEED3EF">
            <w:pPr>
              <w:widowControl/>
              <w:jc w:val="center"/>
              <w:rPr>
                <w:rFonts w:ascii="宋体" w:hAnsi="宋体" w:cs="宋体"/>
                <w:color w:val="000000"/>
                <w:kern w:val="0"/>
                <w:sz w:val="15"/>
                <w:szCs w:val="15"/>
              </w:rPr>
            </w:pPr>
            <w:r>
              <w:rPr>
                <w:rFonts w:hint="eastAsia" w:ascii="宋体" w:hAnsi="宋体" w:cs="宋体"/>
                <w:color w:val="000000"/>
                <w:kern w:val="0"/>
                <w:sz w:val="15"/>
                <w:szCs w:val="15"/>
              </w:rPr>
              <w:t>2000≤Y＜40000</w:t>
            </w:r>
          </w:p>
        </w:tc>
        <w:tc>
          <w:tcPr>
            <w:tcW w:w="755" w:type="pct"/>
            <w:noWrap w:val="0"/>
            <w:vAlign w:val="center"/>
          </w:tcPr>
          <w:p w14:paraId="34D26946">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300≤Y＜2000</w:t>
            </w:r>
          </w:p>
        </w:tc>
        <w:tc>
          <w:tcPr>
            <w:tcW w:w="525" w:type="pct"/>
            <w:noWrap w:val="0"/>
            <w:vAlign w:val="center"/>
          </w:tcPr>
          <w:p w14:paraId="614DD7A1">
            <w:pPr>
              <w:widowControl/>
              <w:jc w:val="center"/>
              <w:rPr>
                <w:rFonts w:ascii="宋体" w:hAnsi="宋体" w:cs="宋体"/>
                <w:color w:val="000000"/>
                <w:kern w:val="0"/>
                <w:sz w:val="15"/>
                <w:szCs w:val="15"/>
              </w:rPr>
            </w:pPr>
            <w:r>
              <w:rPr>
                <w:rFonts w:hint="eastAsia" w:ascii="宋体" w:hAnsi="宋体" w:cs="宋体"/>
                <w:color w:val="000000"/>
                <w:kern w:val="0"/>
                <w:sz w:val="15"/>
                <w:szCs w:val="15"/>
              </w:rPr>
              <w:t>Y＜300</w:t>
            </w:r>
          </w:p>
        </w:tc>
      </w:tr>
      <w:tr w14:paraId="16EDA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restart"/>
            <w:noWrap w:val="0"/>
            <w:vAlign w:val="center"/>
          </w:tcPr>
          <w:p w14:paraId="05DCA6BE">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建筑业</w:t>
            </w:r>
          </w:p>
        </w:tc>
        <w:tc>
          <w:tcPr>
            <w:tcW w:w="725" w:type="pct"/>
            <w:noWrap w:val="0"/>
            <w:vAlign w:val="center"/>
          </w:tcPr>
          <w:p w14:paraId="4CEDBA88">
            <w:pPr>
              <w:widowControl/>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0CB2A606">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6F8330CC">
            <w:pPr>
              <w:widowControl/>
              <w:jc w:val="center"/>
              <w:rPr>
                <w:rFonts w:ascii="宋体" w:hAnsi="宋体" w:cs="宋体"/>
                <w:color w:val="000000"/>
                <w:kern w:val="0"/>
                <w:sz w:val="15"/>
                <w:szCs w:val="15"/>
              </w:rPr>
            </w:pPr>
            <w:r>
              <w:rPr>
                <w:rFonts w:hint="eastAsia" w:ascii="宋体" w:hAnsi="宋体" w:cs="宋体"/>
                <w:color w:val="000000"/>
                <w:kern w:val="0"/>
                <w:sz w:val="15"/>
                <w:szCs w:val="15"/>
              </w:rPr>
              <w:t>Y≥80000</w:t>
            </w:r>
          </w:p>
        </w:tc>
        <w:tc>
          <w:tcPr>
            <w:tcW w:w="901" w:type="pct"/>
            <w:noWrap w:val="0"/>
            <w:vAlign w:val="center"/>
          </w:tcPr>
          <w:p w14:paraId="0008F25E">
            <w:pPr>
              <w:widowControl/>
              <w:jc w:val="center"/>
              <w:rPr>
                <w:rFonts w:ascii="宋体" w:hAnsi="宋体" w:cs="宋体"/>
                <w:color w:val="000000"/>
                <w:kern w:val="0"/>
                <w:sz w:val="15"/>
                <w:szCs w:val="15"/>
              </w:rPr>
            </w:pPr>
            <w:r>
              <w:rPr>
                <w:rFonts w:hint="eastAsia" w:ascii="宋体" w:hAnsi="宋体" w:cs="宋体"/>
                <w:color w:val="000000"/>
                <w:kern w:val="0"/>
                <w:sz w:val="15"/>
                <w:szCs w:val="15"/>
              </w:rPr>
              <w:t>6000≤Y＜80000</w:t>
            </w:r>
          </w:p>
        </w:tc>
        <w:tc>
          <w:tcPr>
            <w:tcW w:w="755" w:type="pct"/>
            <w:noWrap w:val="0"/>
            <w:vAlign w:val="center"/>
          </w:tcPr>
          <w:p w14:paraId="6F6FEA85">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300≤Y＜6000</w:t>
            </w:r>
          </w:p>
        </w:tc>
        <w:tc>
          <w:tcPr>
            <w:tcW w:w="525" w:type="pct"/>
            <w:noWrap w:val="0"/>
            <w:vAlign w:val="center"/>
          </w:tcPr>
          <w:p w14:paraId="4DCDA8D2">
            <w:pPr>
              <w:widowControl/>
              <w:jc w:val="center"/>
              <w:rPr>
                <w:rFonts w:ascii="宋体" w:hAnsi="宋体" w:cs="宋体"/>
                <w:color w:val="000000"/>
                <w:kern w:val="0"/>
                <w:sz w:val="15"/>
                <w:szCs w:val="15"/>
              </w:rPr>
            </w:pPr>
            <w:r>
              <w:rPr>
                <w:rFonts w:hint="eastAsia" w:ascii="宋体" w:hAnsi="宋体" w:cs="宋体"/>
                <w:color w:val="000000"/>
                <w:kern w:val="0"/>
                <w:sz w:val="15"/>
                <w:szCs w:val="15"/>
              </w:rPr>
              <w:t>Y＜300</w:t>
            </w:r>
          </w:p>
        </w:tc>
      </w:tr>
      <w:tr w14:paraId="5D7CE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continue"/>
            <w:noWrap w:val="0"/>
            <w:vAlign w:val="center"/>
          </w:tcPr>
          <w:p w14:paraId="6E2FBACA">
            <w:pPr>
              <w:widowControl/>
              <w:jc w:val="left"/>
              <w:rPr>
                <w:rFonts w:ascii="宋体" w:hAnsi="宋体" w:cs="宋体"/>
                <w:color w:val="000000"/>
                <w:kern w:val="0"/>
                <w:sz w:val="15"/>
                <w:szCs w:val="15"/>
              </w:rPr>
            </w:pPr>
          </w:p>
        </w:tc>
        <w:tc>
          <w:tcPr>
            <w:tcW w:w="725" w:type="pct"/>
            <w:noWrap w:val="0"/>
            <w:vAlign w:val="center"/>
          </w:tcPr>
          <w:p w14:paraId="031BF727">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资产总额(Z)</w:t>
            </w:r>
          </w:p>
        </w:tc>
        <w:tc>
          <w:tcPr>
            <w:tcW w:w="373" w:type="pct"/>
            <w:noWrap w:val="0"/>
            <w:vAlign w:val="center"/>
          </w:tcPr>
          <w:p w14:paraId="327701B1">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4EF41D5E">
            <w:pPr>
              <w:widowControl/>
              <w:jc w:val="center"/>
              <w:rPr>
                <w:rFonts w:ascii="宋体" w:hAnsi="宋体" w:cs="宋体"/>
                <w:color w:val="000000"/>
                <w:kern w:val="0"/>
                <w:sz w:val="15"/>
                <w:szCs w:val="15"/>
              </w:rPr>
            </w:pPr>
            <w:r>
              <w:rPr>
                <w:rFonts w:hint="eastAsia" w:ascii="宋体" w:hAnsi="宋体" w:cs="宋体"/>
                <w:color w:val="000000"/>
                <w:kern w:val="0"/>
                <w:sz w:val="15"/>
                <w:szCs w:val="15"/>
              </w:rPr>
              <w:t>Z≥80000</w:t>
            </w:r>
          </w:p>
        </w:tc>
        <w:tc>
          <w:tcPr>
            <w:tcW w:w="901" w:type="pct"/>
            <w:noWrap w:val="0"/>
            <w:vAlign w:val="center"/>
          </w:tcPr>
          <w:p w14:paraId="4DD22788">
            <w:pPr>
              <w:widowControl/>
              <w:jc w:val="center"/>
              <w:rPr>
                <w:rFonts w:ascii="宋体" w:hAnsi="宋体" w:cs="宋体"/>
                <w:color w:val="000000"/>
                <w:kern w:val="0"/>
                <w:sz w:val="15"/>
                <w:szCs w:val="15"/>
              </w:rPr>
            </w:pPr>
            <w:r>
              <w:rPr>
                <w:rFonts w:hint="eastAsia" w:ascii="宋体" w:hAnsi="宋体" w:cs="宋体"/>
                <w:color w:val="000000"/>
                <w:kern w:val="0"/>
                <w:sz w:val="15"/>
                <w:szCs w:val="15"/>
              </w:rPr>
              <w:t>5000≤Z＜80000</w:t>
            </w:r>
          </w:p>
        </w:tc>
        <w:tc>
          <w:tcPr>
            <w:tcW w:w="755" w:type="pct"/>
            <w:noWrap w:val="0"/>
            <w:vAlign w:val="center"/>
          </w:tcPr>
          <w:p w14:paraId="5FA7755B">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300≤Z＜5000</w:t>
            </w:r>
          </w:p>
        </w:tc>
        <w:tc>
          <w:tcPr>
            <w:tcW w:w="525" w:type="pct"/>
            <w:noWrap w:val="0"/>
            <w:vAlign w:val="center"/>
          </w:tcPr>
          <w:p w14:paraId="7E7F3AF8">
            <w:pPr>
              <w:widowControl/>
              <w:jc w:val="center"/>
              <w:rPr>
                <w:rFonts w:ascii="宋体" w:hAnsi="宋体" w:cs="宋体"/>
                <w:color w:val="000000"/>
                <w:kern w:val="0"/>
                <w:sz w:val="15"/>
                <w:szCs w:val="15"/>
              </w:rPr>
            </w:pPr>
            <w:r>
              <w:rPr>
                <w:rFonts w:hint="eastAsia" w:ascii="宋体" w:hAnsi="宋体" w:cs="宋体"/>
                <w:color w:val="000000"/>
                <w:kern w:val="0"/>
                <w:sz w:val="15"/>
                <w:szCs w:val="15"/>
              </w:rPr>
              <w:t>Z＜300</w:t>
            </w:r>
          </w:p>
        </w:tc>
      </w:tr>
      <w:tr w14:paraId="048DD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restart"/>
            <w:noWrap w:val="0"/>
            <w:vAlign w:val="center"/>
          </w:tcPr>
          <w:p w14:paraId="6C0A59ED">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批发业</w:t>
            </w:r>
          </w:p>
        </w:tc>
        <w:tc>
          <w:tcPr>
            <w:tcW w:w="725" w:type="pct"/>
            <w:noWrap w:val="0"/>
            <w:vAlign w:val="center"/>
          </w:tcPr>
          <w:p w14:paraId="76663C71">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3100B007">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05D443DF">
            <w:pPr>
              <w:widowControl/>
              <w:jc w:val="center"/>
              <w:rPr>
                <w:rFonts w:ascii="宋体" w:hAnsi="宋体" w:cs="宋体"/>
                <w:color w:val="000000"/>
                <w:kern w:val="0"/>
                <w:sz w:val="15"/>
                <w:szCs w:val="15"/>
              </w:rPr>
            </w:pPr>
            <w:r>
              <w:rPr>
                <w:rFonts w:hint="eastAsia" w:ascii="宋体" w:hAnsi="宋体" w:cs="宋体"/>
                <w:color w:val="000000"/>
                <w:kern w:val="0"/>
                <w:sz w:val="15"/>
                <w:szCs w:val="15"/>
              </w:rPr>
              <w:t>X≥200</w:t>
            </w:r>
          </w:p>
        </w:tc>
        <w:tc>
          <w:tcPr>
            <w:tcW w:w="901" w:type="pct"/>
            <w:noWrap w:val="0"/>
            <w:vAlign w:val="center"/>
          </w:tcPr>
          <w:p w14:paraId="7D4FFA8F">
            <w:pPr>
              <w:widowControl/>
              <w:jc w:val="center"/>
              <w:rPr>
                <w:rFonts w:ascii="宋体" w:hAnsi="宋体" w:cs="宋体"/>
                <w:color w:val="000000"/>
                <w:kern w:val="0"/>
                <w:sz w:val="15"/>
                <w:szCs w:val="15"/>
              </w:rPr>
            </w:pPr>
            <w:r>
              <w:rPr>
                <w:rFonts w:hint="eastAsia" w:ascii="宋体" w:hAnsi="宋体" w:cs="宋体"/>
                <w:color w:val="000000"/>
                <w:kern w:val="0"/>
                <w:sz w:val="15"/>
                <w:szCs w:val="15"/>
              </w:rPr>
              <w:t>20≤X＜200</w:t>
            </w:r>
          </w:p>
        </w:tc>
        <w:tc>
          <w:tcPr>
            <w:tcW w:w="755" w:type="pct"/>
            <w:noWrap w:val="0"/>
            <w:vAlign w:val="center"/>
          </w:tcPr>
          <w:p w14:paraId="35B87F9F">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5≤X＜20</w:t>
            </w:r>
          </w:p>
        </w:tc>
        <w:tc>
          <w:tcPr>
            <w:tcW w:w="525" w:type="pct"/>
            <w:noWrap w:val="0"/>
            <w:vAlign w:val="center"/>
          </w:tcPr>
          <w:p w14:paraId="2E1A1B99">
            <w:pPr>
              <w:widowControl/>
              <w:jc w:val="center"/>
              <w:rPr>
                <w:rFonts w:ascii="宋体" w:hAnsi="宋体" w:cs="宋体"/>
                <w:color w:val="000000"/>
                <w:kern w:val="0"/>
                <w:sz w:val="15"/>
                <w:szCs w:val="15"/>
              </w:rPr>
            </w:pPr>
            <w:r>
              <w:rPr>
                <w:rFonts w:hint="eastAsia" w:ascii="宋体" w:hAnsi="宋体" w:cs="宋体"/>
                <w:color w:val="000000"/>
                <w:kern w:val="0"/>
                <w:sz w:val="15"/>
                <w:szCs w:val="15"/>
              </w:rPr>
              <w:t>X＜5</w:t>
            </w:r>
          </w:p>
        </w:tc>
      </w:tr>
      <w:tr w14:paraId="14CF6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continue"/>
            <w:noWrap w:val="0"/>
            <w:vAlign w:val="center"/>
          </w:tcPr>
          <w:p w14:paraId="68755DCF">
            <w:pPr>
              <w:widowControl/>
              <w:jc w:val="left"/>
              <w:rPr>
                <w:rFonts w:ascii="宋体" w:hAnsi="宋体" w:cs="宋体"/>
                <w:color w:val="000000"/>
                <w:kern w:val="0"/>
                <w:sz w:val="15"/>
                <w:szCs w:val="15"/>
              </w:rPr>
            </w:pPr>
          </w:p>
        </w:tc>
        <w:tc>
          <w:tcPr>
            <w:tcW w:w="725" w:type="pct"/>
            <w:noWrap w:val="0"/>
            <w:vAlign w:val="center"/>
          </w:tcPr>
          <w:p w14:paraId="18723F73">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52715CC9">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2003E5D9">
            <w:pPr>
              <w:widowControl/>
              <w:jc w:val="center"/>
              <w:rPr>
                <w:rFonts w:ascii="宋体" w:hAnsi="宋体" w:cs="宋体"/>
                <w:color w:val="000000"/>
                <w:kern w:val="0"/>
                <w:sz w:val="15"/>
                <w:szCs w:val="15"/>
              </w:rPr>
            </w:pPr>
            <w:r>
              <w:rPr>
                <w:rFonts w:hint="eastAsia" w:ascii="宋体" w:hAnsi="宋体" w:cs="宋体"/>
                <w:color w:val="000000"/>
                <w:kern w:val="0"/>
                <w:sz w:val="15"/>
                <w:szCs w:val="15"/>
              </w:rPr>
              <w:t>Y≥40000</w:t>
            </w:r>
          </w:p>
        </w:tc>
        <w:tc>
          <w:tcPr>
            <w:tcW w:w="901" w:type="pct"/>
            <w:noWrap w:val="0"/>
            <w:vAlign w:val="center"/>
          </w:tcPr>
          <w:p w14:paraId="4D9D50AE">
            <w:pPr>
              <w:widowControl/>
              <w:jc w:val="center"/>
              <w:rPr>
                <w:rFonts w:ascii="宋体" w:hAnsi="宋体" w:cs="宋体"/>
                <w:color w:val="000000"/>
                <w:kern w:val="0"/>
                <w:sz w:val="15"/>
                <w:szCs w:val="15"/>
              </w:rPr>
            </w:pPr>
            <w:r>
              <w:rPr>
                <w:rFonts w:hint="eastAsia" w:ascii="宋体" w:hAnsi="宋体" w:cs="宋体"/>
                <w:color w:val="000000"/>
                <w:kern w:val="0"/>
                <w:sz w:val="15"/>
                <w:szCs w:val="15"/>
              </w:rPr>
              <w:t>5000≤Y＜40000</w:t>
            </w:r>
          </w:p>
        </w:tc>
        <w:tc>
          <w:tcPr>
            <w:tcW w:w="755" w:type="pct"/>
            <w:noWrap w:val="0"/>
            <w:vAlign w:val="center"/>
          </w:tcPr>
          <w:p w14:paraId="4E2F2C50">
            <w:pPr>
              <w:widowControl/>
              <w:ind w:left="-1" w:leftChars="-1" w:hanging="1"/>
              <w:jc w:val="center"/>
              <w:rPr>
                <w:rFonts w:ascii="宋体" w:hAnsi="宋体" w:cs="宋体"/>
                <w:color w:val="000000"/>
                <w:kern w:val="0"/>
                <w:sz w:val="15"/>
                <w:szCs w:val="15"/>
              </w:rPr>
            </w:pPr>
            <w:r>
              <w:rPr>
                <w:rFonts w:hint="eastAsia" w:ascii="宋体" w:hAnsi="宋体" w:cs="宋体"/>
                <w:color w:val="000000"/>
                <w:kern w:val="0"/>
                <w:sz w:val="15"/>
                <w:szCs w:val="15"/>
              </w:rPr>
              <w:t>1000≤Y＜5000</w:t>
            </w:r>
          </w:p>
        </w:tc>
        <w:tc>
          <w:tcPr>
            <w:tcW w:w="525" w:type="pct"/>
            <w:noWrap w:val="0"/>
            <w:vAlign w:val="center"/>
          </w:tcPr>
          <w:p w14:paraId="5B8D1CB4">
            <w:pPr>
              <w:widowControl/>
              <w:jc w:val="center"/>
              <w:rPr>
                <w:rFonts w:ascii="宋体" w:hAnsi="宋体" w:cs="宋体"/>
                <w:color w:val="000000"/>
                <w:kern w:val="0"/>
                <w:sz w:val="15"/>
                <w:szCs w:val="15"/>
              </w:rPr>
            </w:pPr>
            <w:r>
              <w:rPr>
                <w:rFonts w:hint="eastAsia" w:ascii="宋体" w:hAnsi="宋体" w:cs="宋体"/>
                <w:color w:val="000000"/>
                <w:kern w:val="0"/>
                <w:sz w:val="15"/>
                <w:szCs w:val="15"/>
              </w:rPr>
              <w:t>Y＜1000</w:t>
            </w:r>
          </w:p>
        </w:tc>
      </w:tr>
      <w:tr w14:paraId="6C815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restart"/>
            <w:noWrap w:val="0"/>
            <w:vAlign w:val="center"/>
          </w:tcPr>
          <w:p w14:paraId="10496AC7">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零售业</w:t>
            </w:r>
          </w:p>
        </w:tc>
        <w:tc>
          <w:tcPr>
            <w:tcW w:w="725" w:type="pct"/>
            <w:noWrap w:val="0"/>
            <w:vAlign w:val="center"/>
          </w:tcPr>
          <w:p w14:paraId="7481355B">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105C4BC9">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0AF81A54">
            <w:pPr>
              <w:widowControl/>
              <w:jc w:val="center"/>
              <w:rPr>
                <w:rFonts w:ascii="宋体" w:hAnsi="宋体" w:cs="宋体"/>
                <w:color w:val="000000"/>
                <w:kern w:val="0"/>
                <w:sz w:val="15"/>
                <w:szCs w:val="15"/>
              </w:rPr>
            </w:pPr>
            <w:r>
              <w:rPr>
                <w:rFonts w:hint="eastAsia" w:ascii="宋体" w:hAnsi="宋体" w:cs="宋体"/>
                <w:color w:val="000000"/>
                <w:kern w:val="0"/>
                <w:sz w:val="15"/>
                <w:szCs w:val="15"/>
              </w:rPr>
              <w:t>X≥300</w:t>
            </w:r>
          </w:p>
        </w:tc>
        <w:tc>
          <w:tcPr>
            <w:tcW w:w="901" w:type="pct"/>
            <w:noWrap w:val="0"/>
            <w:vAlign w:val="center"/>
          </w:tcPr>
          <w:p w14:paraId="20D44795">
            <w:pPr>
              <w:widowControl/>
              <w:jc w:val="center"/>
              <w:rPr>
                <w:rFonts w:ascii="宋体" w:hAnsi="宋体" w:cs="宋体"/>
                <w:color w:val="000000"/>
                <w:kern w:val="0"/>
                <w:sz w:val="15"/>
                <w:szCs w:val="15"/>
              </w:rPr>
            </w:pPr>
            <w:r>
              <w:rPr>
                <w:rFonts w:hint="eastAsia" w:ascii="宋体" w:hAnsi="宋体" w:cs="宋体"/>
                <w:color w:val="000000"/>
                <w:kern w:val="0"/>
                <w:sz w:val="15"/>
                <w:szCs w:val="15"/>
              </w:rPr>
              <w:t>50≤X＜300</w:t>
            </w:r>
          </w:p>
        </w:tc>
        <w:tc>
          <w:tcPr>
            <w:tcW w:w="755" w:type="pct"/>
            <w:noWrap w:val="0"/>
            <w:vAlign w:val="center"/>
          </w:tcPr>
          <w:p w14:paraId="1C32727B">
            <w:pPr>
              <w:widowControl/>
              <w:ind w:left="-1" w:leftChars="-1" w:hanging="1"/>
              <w:jc w:val="center"/>
              <w:rPr>
                <w:rFonts w:ascii="宋体" w:hAnsi="宋体" w:cs="宋体"/>
                <w:color w:val="000000"/>
                <w:kern w:val="0"/>
                <w:sz w:val="15"/>
                <w:szCs w:val="15"/>
              </w:rPr>
            </w:pPr>
            <w:r>
              <w:rPr>
                <w:rFonts w:hint="eastAsia" w:ascii="宋体" w:hAnsi="宋体" w:cs="宋体"/>
                <w:color w:val="000000"/>
                <w:kern w:val="0"/>
                <w:sz w:val="15"/>
                <w:szCs w:val="15"/>
              </w:rPr>
              <w:t xml:space="preserve">10≤X＜50 </w:t>
            </w:r>
          </w:p>
        </w:tc>
        <w:tc>
          <w:tcPr>
            <w:tcW w:w="525" w:type="pct"/>
            <w:noWrap w:val="0"/>
            <w:vAlign w:val="center"/>
          </w:tcPr>
          <w:p w14:paraId="7CEF2D10">
            <w:pPr>
              <w:widowControl/>
              <w:jc w:val="center"/>
              <w:rPr>
                <w:rFonts w:ascii="宋体" w:hAnsi="宋体" w:cs="宋体"/>
                <w:color w:val="000000"/>
                <w:kern w:val="0"/>
                <w:sz w:val="15"/>
                <w:szCs w:val="15"/>
              </w:rPr>
            </w:pPr>
            <w:r>
              <w:rPr>
                <w:rFonts w:hint="eastAsia" w:ascii="宋体" w:hAnsi="宋体" w:cs="宋体"/>
                <w:color w:val="000000"/>
                <w:kern w:val="0"/>
                <w:sz w:val="15"/>
                <w:szCs w:val="15"/>
              </w:rPr>
              <w:t>X＜10</w:t>
            </w:r>
          </w:p>
        </w:tc>
      </w:tr>
      <w:tr w14:paraId="37B27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continue"/>
            <w:noWrap w:val="0"/>
            <w:vAlign w:val="center"/>
          </w:tcPr>
          <w:p w14:paraId="1754C67D">
            <w:pPr>
              <w:widowControl/>
              <w:jc w:val="left"/>
              <w:rPr>
                <w:rFonts w:ascii="宋体" w:hAnsi="宋体" w:cs="宋体"/>
                <w:color w:val="000000"/>
                <w:kern w:val="0"/>
                <w:sz w:val="15"/>
                <w:szCs w:val="15"/>
              </w:rPr>
            </w:pPr>
          </w:p>
        </w:tc>
        <w:tc>
          <w:tcPr>
            <w:tcW w:w="725" w:type="pct"/>
            <w:noWrap w:val="0"/>
            <w:vAlign w:val="center"/>
          </w:tcPr>
          <w:p w14:paraId="4389483A">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4608B505">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016DF748">
            <w:pPr>
              <w:widowControl/>
              <w:jc w:val="center"/>
              <w:rPr>
                <w:rFonts w:ascii="宋体" w:hAnsi="宋体" w:cs="宋体"/>
                <w:color w:val="000000"/>
                <w:kern w:val="0"/>
                <w:sz w:val="15"/>
                <w:szCs w:val="15"/>
              </w:rPr>
            </w:pPr>
            <w:r>
              <w:rPr>
                <w:rFonts w:hint="eastAsia" w:ascii="宋体" w:hAnsi="宋体" w:cs="宋体"/>
                <w:color w:val="000000"/>
                <w:kern w:val="0"/>
                <w:sz w:val="15"/>
                <w:szCs w:val="15"/>
              </w:rPr>
              <w:t>Y≥20000</w:t>
            </w:r>
          </w:p>
        </w:tc>
        <w:tc>
          <w:tcPr>
            <w:tcW w:w="901" w:type="pct"/>
            <w:noWrap w:val="0"/>
            <w:vAlign w:val="center"/>
          </w:tcPr>
          <w:p w14:paraId="30F7CEF9">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500≤Y＜20000</w:t>
            </w:r>
          </w:p>
        </w:tc>
        <w:tc>
          <w:tcPr>
            <w:tcW w:w="755" w:type="pct"/>
            <w:noWrap w:val="0"/>
            <w:vAlign w:val="center"/>
          </w:tcPr>
          <w:p w14:paraId="0C9B0A31">
            <w:pPr>
              <w:widowControl/>
              <w:ind w:left="-1" w:leftChars="-1" w:hanging="1"/>
              <w:jc w:val="center"/>
              <w:rPr>
                <w:rFonts w:ascii="宋体" w:hAnsi="宋体" w:cs="宋体"/>
                <w:color w:val="000000"/>
                <w:kern w:val="0"/>
                <w:sz w:val="15"/>
                <w:szCs w:val="15"/>
              </w:rPr>
            </w:pPr>
            <w:r>
              <w:rPr>
                <w:rFonts w:hint="eastAsia" w:ascii="宋体" w:hAnsi="宋体" w:cs="宋体"/>
                <w:color w:val="000000"/>
                <w:kern w:val="0"/>
                <w:sz w:val="15"/>
                <w:szCs w:val="15"/>
              </w:rPr>
              <w:t xml:space="preserve">100≤Y＜500 </w:t>
            </w:r>
          </w:p>
        </w:tc>
        <w:tc>
          <w:tcPr>
            <w:tcW w:w="525" w:type="pct"/>
            <w:noWrap w:val="0"/>
            <w:vAlign w:val="center"/>
          </w:tcPr>
          <w:p w14:paraId="0B6B93F1">
            <w:pPr>
              <w:widowControl/>
              <w:jc w:val="center"/>
              <w:rPr>
                <w:rFonts w:ascii="宋体" w:hAnsi="宋体" w:cs="宋体"/>
                <w:color w:val="000000"/>
                <w:kern w:val="0"/>
                <w:sz w:val="15"/>
                <w:szCs w:val="15"/>
              </w:rPr>
            </w:pPr>
            <w:r>
              <w:rPr>
                <w:rFonts w:hint="eastAsia" w:ascii="宋体" w:hAnsi="宋体" w:cs="宋体"/>
                <w:color w:val="000000"/>
                <w:kern w:val="0"/>
                <w:sz w:val="15"/>
                <w:szCs w:val="15"/>
              </w:rPr>
              <w:t>Y＜100</w:t>
            </w:r>
          </w:p>
        </w:tc>
      </w:tr>
      <w:tr w14:paraId="79B0A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restart"/>
            <w:noWrap w:val="0"/>
            <w:vAlign w:val="center"/>
          </w:tcPr>
          <w:p w14:paraId="4BA0839D">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交通运输业 *</w:t>
            </w:r>
          </w:p>
        </w:tc>
        <w:tc>
          <w:tcPr>
            <w:tcW w:w="725" w:type="pct"/>
            <w:noWrap w:val="0"/>
            <w:vAlign w:val="center"/>
          </w:tcPr>
          <w:p w14:paraId="3BFDD18E">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5A490339">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4AAC4E12">
            <w:pPr>
              <w:widowControl/>
              <w:jc w:val="center"/>
              <w:rPr>
                <w:rFonts w:ascii="宋体" w:hAnsi="宋体" w:cs="宋体"/>
                <w:color w:val="000000"/>
                <w:kern w:val="0"/>
                <w:sz w:val="15"/>
                <w:szCs w:val="15"/>
              </w:rPr>
            </w:pPr>
            <w:r>
              <w:rPr>
                <w:rFonts w:hint="eastAsia" w:ascii="宋体" w:hAnsi="宋体" w:cs="宋体"/>
                <w:color w:val="000000"/>
                <w:kern w:val="0"/>
                <w:sz w:val="15"/>
                <w:szCs w:val="15"/>
              </w:rPr>
              <w:t>X≥1000</w:t>
            </w:r>
          </w:p>
        </w:tc>
        <w:tc>
          <w:tcPr>
            <w:tcW w:w="901" w:type="pct"/>
            <w:noWrap w:val="0"/>
            <w:vAlign w:val="center"/>
          </w:tcPr>
          <w:p w14:paraId="1D26C7A5">
            <w:pPr>
              <w:widowControl/>
              <w:jc w:val="center"/>
              <w:rPr>
                <w:rFonts w:ascii="宋体" w:hAnsi="宋体" w:cs="宋体"/>
                <w:color w:val="000000"/>
                <w:kern w:val="0"/>
                <w:sz w:val="15"/>
                <w:szCs w:val="15"/>
              </w:rPr>
            </w:pPr>
            <w:r>
              <w:rPr>
                <w:rFonts w:hint="eastAsia" w:ascii="宋体" w:hAnsi="宋体" w:cs="宋体"/>
                <w:color w:val="000000"/>
                <w:kern w:val="0"/>
                <w:sz w:val="15"/>
                <w:szCs w:val="15"/>
              </w:rPr>
              <w:t>300≤X＜1000</w:t>
            </w:r>
          </w:p>
        </w:tc>
        <w:tc>
          <w:tcPr>
            <w:tcW w:w="755" w:type="pct"/>
            <w:noWrap w:val="0"/>
            <w:vAlign w:val="center"/>
          </w:tcPr>
          <w:p w14:paraId="00D47550">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20≤X＜300</w:t>
            </w:r>
          </w:p>
        </w:tc>
        <w:tc>
          <w:tcPr>
            <w:tcW w:w="525" w:type="pct"/>
            <w:noWrap w:val="0"/>
            <w:vAlign w:val="center"/>
          </w:tcPr>
          <w:p w14:paraId="06678ED7">
            <w:pPr>
              <w:widowControl/>
              <w:jc w:val="center"/>
              <w:rPr>
                <w:rFonts w:ascii="宋体" w:hAnsi="宋体" w:cs="宋体"/>
                <w:color w:val="000000"/>
                <w:kern w:val="0"/>
                <w:sz w:val="15"/>
                <w:szCs w:val="15"/>
              </w:rPr>
            </w:pPr>
            <w:r>
              <w:rPr>
                <w:rFonts w:hint="eastAsia" w:ascii="宋体" w:hAnsi="宋体" w:cs="宋体"/>
                <w:color w:val="000000"/>
                <w:kern w:val="0"/>
                <w:sz w:val="15"/>
                <w:szCs w:val="15"/>
              </w:rPr>
              <w:t>X＜20</w:t>
            </w:r>
          </w:p>
        </w:tc>
      </w:tr>
      <w:tr w14:paraId="2A5D0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continue"/>
            <w:noWrap w:val="0"/>
            <w:vAlign w:val="center"/>
          </w:tcPr>
          <w:p w14:paraId="0FF9FC03">
            <w:pPr>
              <w:widowControl/>
              <w:jc w:val="left"/>
              <w:rPr>
                <w:rFonts w:ascii="宋体" w:hAnsi="宋体" w:cs="宋体"/>
                <w:color w:val="000000"/>
                <w:kern w:val="0"/>
                <w:sz w:val="15"/>
                <w:szCs w:val="15"/>
              </w:rPr>
            </w:pPr>
          </w:p>
        </w:tc>
        <w:tc>
          <w:tcPr>
            <w:tcW w:w="725" w:type="pct"/>
            <w:noWrap w:val="0"/>
            <w:vAlign w:val="center"/>
          </w:tcPr>
          <w:p w14:paraId="259F134E">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1D1DE3F1">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6BB91705">
            <w:pPr>
              <w:widowControl/>
              <w:jc w:val="center"/>
              <w:rPr>
                <w:rFonts w:ascii="宋体" w:hAnsi="宋体" w:cs="宋体"/>
                <w:color w:val="000000"/>
                <w:kern w:val="0"/>
                <w:sz w:val="15"/>
                <w:szCs w:val="15"/>
              </w:rPr>
            </w:pPr>
            <w:r>
              <w:rPr>
                <w:rFonts w:hint="eastAsia" w:ascii="宋体" w:hAnsi="宋体" w:cs="宋体"/>
                <w:color w:val="000000"/>
                <w:kern w:val="0"/>
                <w:sz w:val="15"/>
                <w:szCs w:val="15"/>
              </w:rPr>
              <w:t>Y≥30000</w:t>
            </w:r>
          </w:p>
        </w:tc>
        <w:tc>
          <w:tcPr>
            <w:tcW w:w="901" w:type="pct"/>
            <w:noWrap w:val="0"/>
            <w:vAlign w:val="center"/>
          </w:tcPr>
          <w:p w14:paraId="76601649">
            <w:pPr>
              <w:widowControl/>
              <w:jc w:val="center"/>
              <w:rPr>
                <w:rFonts w:ascii="宋体" w:hAnsi="宋体" w:cs="宋体"/>
                <w:color w:val="000000"/>
                <w:kern w:val="0"/>
                <w:sz w:val="15"/>
                <w:szCs w:val="15"/>
              </w:rPr>
            </w:pPr>
            <w:r>
              <w:rPr>
                <w:rFonts w:hint="eastAsia" w:ascii="宋体" w:hAnsi="宋体" w:cs="宋体"/>
                <w:color w:val="000000"/>
                <w:kern w:val="0"/>
                <w:sz w:val="15"/>
                <w:szCs w:val="15"/>
              </w:rPr>
              <w:t>3000≤Y＜30000</w:t>
            </w:r>
          </w:p>
        </w:tc>
        <w:tc>
          <w:tcPr>
            <w:tcW w:w="755" w:type="pct"/>
            <w:noWrap w:val="0"/>
            <w:vAlign w:val="center"/>
          </w:tcPr>
          <w:p w14:paraId="5BB78EC0">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200≤Y＜3000</w:t>
            </w:r>
          </w:p>
        </w:tc>
        <w:tc>
          <w:tcPr>
            <w:tcW w:w="525" w:type="pct"/>
            <w:noWrap w:val="0"/>
            <w:vAlign w:val="center"/>
          </w:tcPr>
          <w:p w14:paraId="1006F3EC">
            <w:pPr>
              <w:widowControl/>
              <w:jc w:val="center"/>
              <w:rPr>
                <w:rFonts w:ascii="宋体" w:hAnsi="宋体" w:cs="宋体"/>
                <w:color w:val="000000"/>
                <w:kern w:val="0"/>
                <w:sz w:val="15"/>
                <w:szCs w:val="15"/>
              </w:rPr>
            </w:pPr>
            <w:r>
              <w:rPr>
                <w:rFonts w:hint="eastAsia" w:ascii="宋体" w:hAnsi="宋体" w:cs="宋体"/>
                <w:color w:val="000000"/>
                <w:kern w:val="0"/>
                <w:sz w:val="15"/>
                <w:szCs w:val="15"/>
              </w:rPr>
              <w:t>Y＜200</w:t>
            </w:r>
          </w:p>
        </w:tc>
      </w:tr>
      <w:tr w14:paraId="5C2DF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restart"/>
            <w:noWrap w:val="0"/>
            <w:vAlign w:val="center"/>
          </w:tcPr>
          <w:p w14:paraId="5C21E836">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仓储业*</w:t>
            </w:r>
          </w:p>
        </w:tc>
        <w:tc>
          <w:tcPr>
            <w:tcW w:w="725" w:type="pct"/>
            <w:noWrap w:val="0"/>
            <w:vAlign w:val="center"/>
          </w:tcPr>
          <w:p w14:paraId="5092D5CD">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6CDFC56D">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2EF52200">
            <w:pPr>
              <w:widowControl/>
              <w:jc w:val="center"/>
              <w:rPr>
                <w:rFonts w:ascii="宋体" w:hAnsi="宋体" w:cs="宋体"/>
                <w:color w:val="000000"/>
                <w:kern w:val="0"/>
                <w:sz w:val="15"/>
                <w:szCs w:val="15"/>
              </w:rPr>
            </w:pPr>
            <w:r>
              <w:rPr>
                <w:rFonts w:hint="eastAsia" w:ascii="宋体" w:hAnsi="宋体" w:cs="宋体"/>
                <w:color w:val="000000"/>
                <w:kern w:val="0"/>
                <w:sz w:val="15"/>
                <w:szCs w:val="15"/>
              </w:rPr>
              <w:t>X≥200</w:t>
            </w:r>
          </w:p>
        </w:tc>
        <w:tc>
          <w:tcPr>
            <w:tcW w:w="901" w:type="pct"/>
            <w:noWrap w:val="0"/>
            <w:vAlign w:val="center"/>
          </w:tcPr>
          <w:p w14:paraId="16F56822">
            <w:pPr>
              <w:widowControl/>
              <w:ind w:left="-32" w:leftChars="-51" w:hanging="90" w:hangingChars="60"/>
              <w:jc w:val="center"/>
              <w:rPr>
                <w:rFonts w:ascii="宋体" w:hAnsi="宋体" w:cs="宋体"/>
                <w:color w:val="000000"/>
                <w:kern w:val="0"/>
                <w:sz w:val="15"/>
                <w:szCs w:val="15"/>
              </w:rPr>
            </w:pPr>
            <w:r>
              <w:rPr>
                <w:rFonts w:hint="eastAsia" w:ascii="宋体" w:hAnsi="宋体" w:cs="宋体"/>
                <w:color w:val="000000"/>
                <w:kern w:val="0"/>
                <w:sz w:val="15"/>
                <w:szCs w:val="15"/>
              </w:rPr>
              <w:t>100≤X＜200</w:t>
            </w:r>
          </w:p>
        </w:tc>
        <w:tc>
          <w:tcPr>
            <w:tcW w:w="755" w:type="pct"/>
            <w:noWrap w:val="0"/>
            <w:vAlign w:val="center"/>
          </w:tcPr>
          <w:p w14:paraId="6DA4A9B3">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20≤X＜100</w:t>
            </w:r>
          </w:p>
        </w:tc>
        <w:tc>
          <w:tcPr>
            <w:tcW w:w="525" w:type="pct"/>
            <w:noWrap w:val="0"/>
            <w:vAlign w:val="center"/>
          </w:tcPr>
          <w:p w14:paraId="45A28AE3">
            <w:pPr>
              <w:widowControl/>
              <w:jc w:val="center"/>
              <w:rPr>
                <w:rFonts w:ascii="宋体" w:hAnsi="宋体" w:cs="宋体"/>
                <w:color w:val="000000"/>
                <w:kern w:val="0"/>
                <w:sz w:val="15"/>
                <w:szCs w:val="15"/>
              </w:rPr>
            </w:pPr>
            <w:r>
              <w:rPr>
                <w:rFonts w:hint="eastAsia" w:ascii="宋体" w:hAnsi="宋体" w:cs="宋体"/>
                <w:color w:val="000000"/>
                <w:kern w:val="0"/>
                <w:sz w:val="15"/>
                <w:szCs w:val="15"/>
              </w:rPr>
              <w:t>X＜20</w:t>
            </w:r>
          </w:p>
        </w:tc>
      </w:tr>
      <w:tr w14:paraId="70A90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continue"/>
            <w:noWrap w:val="0"/>
            <w:vAlign w:val="center"/>
          </w:tcPr>
          <w:p w14:paraId="57A5F0E3">
            <w:pPr>
              <w:widowControl/>
              <w:jc w:val="left"/>
              <w:rPr>
                <w:rFonts w:ascii="宋体" w:hAnsi="宋体" w:cs="宋体"/>
                <w:color w:val="000000"/>
                <w:kern w:val="0"/>
                <w:sz w:val="15"/>
                <w:szCs w:val="15"/>
              </w:rPr>
            </w:pPr>
          </w:p>
        </w:tc>
        <w:tc>
          <w:tcPr>
            <w:tcW w:w="725" w:type="pct"/>
            <w:noWrap w:val="0"/>
            <w:vAlign w:val="center"/>
          </w:tcPr>
          <w:p w14:paraId="69470D9D">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01B1B230">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337B0B9F">
            <w:pPr>
              <w:widowControl/>
              <w:jc w:val="center"/>
              <w:rPr>
                <w:rFonts w:ascii="宋体" w:hAnsi="宋体" w:cs="宋体"/>
                <w:color w:val="000000"/>
                <w:kern w:val="0"/>
                <w:sz w:val="15"/>
                <w:szCs w:val="15"/>
              </w:rPr>
            </w:pPr>
            <w:r>
              <w:rPr>
                <w:rFonts w:hint="eastAsia" w:ascii="宋体" w:hAnsi="宋体" w:cs="宋体"/>
                <w:color w:val="000000"/>
                <w:kern w:val="0"/>
                <w:sz w:val="15"/>
                <w:szCs w:val="15"/>
              </w:rPr>
              <w:t>Y≥30000</w:t>
            </w:r>
          </w:p>
        </w:tc>
        <w:tc>
          <w:tcPr>
            <w:tcW w:w="901" w:type="pct"/>
            <w:noWrap w:val="0"/>
            <w:vAlign w:val="center"/>
          </w:tcPr>
          <w:p w14:paraId="6A41BB2B">
            <w:pPr>
              <w:widowControl/>
              <w:jc w:val="center"/>
              <w:rPr>
                <w:rFonts w:ascii="宋体" w:hAnsi="宋体" w:cs="宋体"/>
                <w:color w:val="000000"/>
                <w:kern w:val="0"/>
                <w:sz w:val="15"/>
                <w:szCs w:val="15"/>
              </w:rPr>
            </w:pPr>
            <w:r>
              <w:rPr>
                <w:rFonts w:hint="eastAsia" w:ascii="宋体" w:hAnsi="宋体" w:cs="宋体"/>
                <w:color w:val="000000"/>
                <w:kern w:val="0"/>
                <w:sz w:val="15"/>
                <w:szCs w:val="15"/>
              </w:rPr>
              <w:t>1000≤Y＜30000</w:t>
            </w:r>
          </w:p>
        </w:tc>
        <w:tc>
          <w:tcPr>
            <w:tcW w:w="755" w:type="pct"/>
            <w:noWrap w:val="0"/>
            <w:vAlign w:val="center"/>
          </w:tcPr>
          <w:p w14:paraId="38AAF82C">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100≤Y＜1000</w:t>
            </w:r>
          </w:p>
        </w:tc>
        <w:tc>
          <w:tcPr>
            <w:tcW w:w="525" w:type="pct"/>
            <w:noWrap w:val="0"/>
            <w:vAlign w:val="center"/>
          </w:tcPr>
          <w:p w14:paraId="1519729B">
            <w:pPr>
              <w:widowControl/>
              <w:jc w:val="center"/>
              <w:rPr>
                <w:rFonts w:ascii="宋体" w:hAnsi="宋体" w:cs="宋体"/>
                <w:color w:val="000000"/>
                <w:kern w:val="0"/>
                <w:sz w:val="15"/>
                <w:szCs w:val="15"/>
              </w:rPr>
            </w:pPr>
            <w:r>
              <w:rPr>
                <w:rFonts w:hint="eastAsia" w:ascii="宋体" w:hAnsi="宋体" w:cs="宋体"/>
                <w:color w:val="000000"/>
                <w:kern w:val="0"/>
                <w:sz w:val="15"/>
                <w:szCs w:val="15"/>
              </w:rPr>
              <w:t>Y＜100</w:t>
            </w:r>
          </w:p>
        </w:tc>
      </w:tr>
      <w:tr w14:paraId="32635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restart"/>
            <w:noWrap w:val="0"/>
            <w:vAlign w:val="center"/>
          </w:tcPr>
          <w:p w14:paraId="642D6D82">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邮政业</w:t>
            </w:r>
          </w:p>
        </w:tc>
        <w:tc>
          <w:tcPr>
            <w:tcW w:w="725" w:type="pct"/>
            <w:noWrap w:val="0"/>
            <w:vAlign w:val="center"/>
          </w:tcPr>
          <w:p w14:paraId="3E563266">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07A71CF6">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4A144A2C">
            <w:pPr>
              <w:widowControl/>
              <w:jc w:val="center"/>
              <w:rPr>
                <w:rFonts w:ascii="宋体" w:hAnsi="宋体" w:cs="宋体"/>
                <w:color w:val="000000"/>
                <w:kern w:val="0"/>
                <w:sz w:val="15"/>
                <w:szCs w:val="15"/>
              </w:rPr>
            </w:pPr>
            <w:r>
              <w:rPr>
                <w:rFonts w:hint="eastAsia" w:ascii="宋体" w:hAnsi="宋体" w:cs="宋体"/>
                <w:color w:val="000000"/>
                <w:kern w:val="0"/>
                <w:sz w:val="15"/>
                <w:szCs w:val="15"/>
              </w:rPr>
              <w:t>X≥1000</w:t>
            </w:r>
          </w:p>
        </w:tc>
        <w:tc>
          <w:tcPr>
            <w:tcW w:w="901" w:type="pct"/>
            <w:noWrap w:val="0"/>
            <w:vAlign w:val="center"/>
          </w:tcPr>
          <w:p w14:paraId="29CD7F09">
            <w:pPr>
              <w:widowControl/>
              <w:jc w:val="center"/>
              <w:rPr>
                <w:rFonts w:ascii="宋体" w:hAnsi="宋体" w:cs="宋体"/>
                <w:color w:val="000000"/>
                <w:kern w:val="0"/>
                <w:sz w:val="15"/>
                <w:szCs w:val="15"/>
              </w:rPr>
            </w:pPr>
            <w:r>
              <w:rPr>
                <w:rFonts w:hint="eastAsia" w:ascii="宋体" w:hAnsi="宋体" w:cs="宋体"/>
                <w:color w:val="000000"/>
                <w:kern w:val="0"/>
                <w:sz w:val="15"/>
                <w:szCs w:val="15"/>
              </w:rPr>
              <w:t>300≤X＜1000</w:t>
            </w:r>
          </w:p>
        </w:tc>
        <w:tc>
          <w:tcPr>
            <w:tcW w:w="755" w:type="pct"/>
            <w:noWrap w:val="0"/>
            <w:vAlign w:val="center"/>
          </w:tcPr>
          <w:p w14:paraId="67035CFA">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20≤X＜300</w:t>
            </w:r>
          </w:p>
        </w:tc>
        <w:tc>
          <w:tcPr>
            <w:tcW w:w="525" w:type="pct"/>
            <w:noWrap w:val="0"/>
            <w:vAlign w:val="center"/>
          </w:tcPr>
          <w:p w14:paraId="308936F2">
            <w:pPr>
              <w:widowControl/>
              <w:jc w:val="center"/>
              <w:rPr>
                <w:rFonts w:ascii="宋体" w:hAnsi="宋体" w:cs="宋体"/>
                <w:color w:val="000000"/>
                <w:kern w:val="0"/>
                <w:sz w:val="15"/>
                <w:szCs w:val="15"/>
              </w:rPr>
            </w:pPr>
            <w:r>
              <w:rPr>
                <w:rFonts w:hint="eastAsia" w:ascii="宋体" w:hAnsi="宋体" w:cs="宋体"/>
                <w:color w:val="000000"/>
                <w:kern w:val="0"/>
                <w:sz w:val="15"/>
                <w:szCs w:val="15"/>
              </w:rPr>
              <w:t>X＜20</w:t>
            </w:r>
          </w:p>
        </w:tc>
      </w:tr>
      <w:tr w14:paraId="49D837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continue"/>
            <w:noWrap w:val="0"/>
            <w:vAlign w:val="center"/>
          </w:tcPr>
          <w:p w14:paraId="69AED006">
            <w:pPr>
              <w:widowControl/>
              <w:jc w:val="left"/>
              <w:rPr>
                <w:rFonts w:ascii="宋体" w:hAnsi="宋体" w:cs="宋体"/>
                <w:color w:val="000000"/>
                <w:kern w:val="0"/>
                <w:sz w:val="15"/>
                <w:szCs w:val="15"/>
              </w:rPr>
            </w:pPr>
          </w:p>
        </w:tc>
        <w:tc>
          <w:tcPr>
            <w:tcW w:w="725" w:type="pct"/>
            <w:noWrap w:val="0"/>
            <w:vAlign w:val="center"/>
          </w:tcPr>
          <w:p w14:paraId="3AE88C6C">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7CBE4A09">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0E81FCBC">
            <w:pPr>
              <w:widowControl/>
              <w:jc w:val="center"/>
              <w:rPr>
                <w:rFonts w:ascii="宋体" w:hAnsi="宋体" w:cs="宋体"/>
                <w:color w:val="000000"/>
                <w:kern w:val="0"/>
                <w:sz w:val="15"/>
                <w:szCs w:val="15"/>
              </w:rPr>
            </w:pPr>
            <w:r>
              <w:rPr>
                <w:rFonts w:hint="eastAsia" w:ascii="宋体" w:hAnsi="宋体" w:cs="宋体"/>
                <w:color w:val="000000"/>
                <w:kern w:val="0"/>
                <w:sz w:val="15"/>
                <w:szCs w:val="15"/>
              </w:rPr>
              <w:t>Y≥30000</w:t>
            </w:r>
          </w:p>
        </w:tc>
        <w:tc>
          <w:tcPr>
            <w:tcW w:w="901" w:type="pct"/>
            <w:noWrap w:val="0"/>
            <w:vAlign w:val="center"/>
          </w:tcPr>
          <w:p w14:paraId="7633CB15">
            <w:pPr>
              <w:widowControl/>
              <w:jc w:val="center"/>
              <w:rPr>
                <w:rFonts w:ascii="宋体" w:hAnsi="宋体" w:cs="宋体"/>
                <w:color w:val="000000"/>
                <w:kern w:val="0"/>
                <w:sz w:val="15"/>
                <w:szCs w:val="15"/>
              </w:rPr>
            </w:pPr>
            <w:r>
              <w:rPr>
                <w:rFonts w:hint="eastAsia" w:ascii="宋体" w:hAnsi="宋体" w:cs="宋体"/>
                <w:color w:val="000000"/>
                <w:kern w:val="0"/>
                <w:sz w:val="15"/>
                <w:szCs w:val="15"/>
              </w:rPr>
              <w:t>2000≤Y＜30000</w:t>
            </w:r>
          </w:p>
        </w:tc>
        <w:tc>
          <w:tcPr>
            <w:tcW w:w="755" w:type="pct"/>
            <w:noWrap w:val="0"/>
            <w:vAlign w:val="center"/>
          </w:tcPr>
          <w:p w14:paraId="44B2A0BC">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100≤Y＜2000</w:t>
            </w:r>
          </w:p>
        </w:tc>
        <w:tc>
          <w:tcPr>
            <w:tcW w:w="525" w:type="pct"/>
            <w:noWrap w:val="0"/>
            <w:vAlign w:val="center"/>
          </w:tcPr>
          <w:p w14:paraId="18978827">
            <w:pPr>
              <w:widowControl/>
              <w:jc w:val="center"/>
              <w:rPr>
                <w:rFonts w:ascii="宋体" w:hAnsi="宋体" w:cs="宋体"/>
                <w:color w:val="000000"/>
                <w:kern w:val="0"/>
                <w:sz w:val="15"/>
                <w:szCs w:val="15"/>
              </w:rPr>
            </w:pPr>
            <w:r>
              <w:rPr>
                <w:rFonts w:hint="eastAsia" w:ascii="宋体" w:hAnsi="宋体" w:cs="宋体"/>
                <w:color w:val="000000"/>
                <w:kern w:val="0"/>
                <w:sz w:val="15"/>
                <w:szCs w:val="15"/>
              </w:rPr>
              <w:t>Y＜100</w:t>
            </w:r>
          </w:p>
        </w:tc>
      </w:tr>
      <w:tr w14:paraId="10889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restart"/>
            <w:noWrap w:val="0"/>
            <w:vAlign w:val="center"/>
          </w:tcPr>
          <w:p w14:paraId="757739B0">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住宿业</w:t>
            </w:r>
          </w:p>
        </w:tc>
        <w:tc>
          <w:tcPr>
            <w:tcW w:w="725" w:type="pct"/>
            <w:noWrap w:val="0"/>
            <w:vAlign w:val="center"/>
          </w:tcPr>
          <w:p w14:paraId="6377258C">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054A4294">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52E00219">
            <w:pPr>
              <w:widowControl/>
              <w:jc w:val="center"/>
              <w:rPr>
                <w:rFonts w:ascii="宋体" w:hAnsi="宋体" w:cs="宋体"/>
                <w:color w:val="000000"/>
                <w:kern w:val="0"/>
                <w:sz w:val="15"/>
                <w:szCs w:val="15"/>
              </w:rPr>
            </w:pPr>
            <w:r>
              <w:rPr>
                <w:rFonts w:hint="eastAsia" w:ascii="宋体" w:hAnsi="宋体" w:cs="宋体"/>
                <w:color w:val="000000"/>
                <w:kern w:val="0"/>
                <w:sz w:val="15"/>
                <w:szCs w:val="15"/>
              </w:rPr>
              <w:t>X≥300</w:t>
            </w:r>
          </w:p>
        </w:tc>
        <w:tc>
          <w:tcPr>
            <w:tcW w:w="901" w:type="pct"/>
            <w:noWrap w:val="0"/>
            <w:vAlign w:val="center"/>
          </w:tcPr>
          <w:p w14:paraId="48EF3F70">
            <w:pPr>
              <w:widowControl/>
              <w:ind w:left="-32" w:leftChars="-51" w:hanging="90" w:hangingChars="60"/>
              <w:jc w:val="center"/>
              <w:rPr>
                <w:rFonts w:ascii="宋体" w:hAnsi="宋体" w:cs="宋体"/>
                <w:color w:val="000000"/>
                <w:kern w:val="0"/>
                <w:sz w:val="15"/>
                <w:szCs w:val="15"/>
              </w:rPr>
            </w:pPr>
            <w:r>
              <w:rPr>
                <w:rFonts w:hint="eastAsia" w:ascii="宋体" w:hAnsi="宋体" w:cs="宋体"/>
                <w:color w:val="000000"/>
                <w:kern w:val="0"/>
                <w:sz w:val="15"/>
                <w:szCs w:val="15"/>
              </w:rPr>
              <w:t xml:space="preserve">100≤X＜300 </w:t>
            </w:r>
          </w:p>
        </w:tc>
        <w:tc>
          <w:tcPr>
            <w:tcW w:w="755" w:type="pct"/>
            <w:noWrap w:val="0"/>
            <w:vAlign w:val="center"/>
          </w:tcPr>
          <w:p w14:paraId="18C45308">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10≤X＜100</w:t>
            </w:r>
          </w:p>
        </w:tc>
        <w:tc>
          <w:tcPr>
            <w:tcW w:w="525" w:type="pct"/>
            <w:noWrap w:val="0"/>
            <w:vAlign w:val="center"/>
          </w:tcPr>
          <w:p w14:paraId="3D372DB5">
            <w:pPr>
              <w:widowControl/>
              <w:jc w:val="center"/>
              <w:rPr>
                <w:rFonts w:ascii="宋体" w:hAnsi="宋体" w:cs="宋体"/>
                <w:color w:val="000000"/>
                <w:kern w:val="0"/>
                <w:sz w:val="15"/>
                <w:szCs w:val="15"/>
              </w:rPr>
            </w:pPr>
            <w:r>
              <w:rPr>
                <w:rFonts w:hint="eastAsia" w:ascii="宋体" w:hAnsi="宋体" w:cs="宋体"/>
                <w:color w:val="000000"/>
                <w:kern w:val="0"/>
                <w:sz w:val="15"/>
                <w:szCs w:val="15"/>
              </w:rPr>
              <w:t>X＜10</w:t>
            </w:r>
          </w:p>
        </w:tc>
      </w:tr>
      <w:tr w14:paraId="48668D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continue"/>
            <w:noWrap w:val="0"/>
            <w:vAlign w:val="center"/>
          </w:tcPr>
          <w:p w14:paraId="5291C0F5">
            <w:pPr>
              <w:widowControl/>
              <w:jc w:val="left"/>
              <w:rPr>
                <w:rFonts w:ascii="宋体" w:hAnsi="宋体" w:cs="宋体"/>
                <w:color w:val="000000"/>
                <w:kern w:val="0"/>
                <w:sz w:val="15"/>
                <w:szCs w:val="15"/>
              </w:rPr>
            </w:pPr>
          </w:p>
        </w:tc>
        <w:tc>
          <w:tcPr>
            <w:tcW w:w="725" w:type="pct"/>
            <w:noWrap w:val="0"/>
            <w:vAlign w:val="center"/>
          </w:tcPr>
          <w:p w14:paraId="64E42A76">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594BD8E6">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4FEEEA14">
            <w:pPr>
              <w:widowControl/>
              <w:jc w:val="center"/>
              <w:rPr>
                <w:rFonts w:ascii="宋体" w:hAnsi="宋体" w:cs="宋体"/>
                <w:color w:val="000000"/>
                <w:kern w:val="0"/>
                <w:sz w:val="15"/>
                <w:szCs w:val="15"/>
              </w:rPr>
            </w:pPr>
            <w:r>
              <w:rPr>
                <w:rFonts w:hint="eastAsia" w:ascii="宋体" w:hAnsi="宋体" w:cs="宋体"/>
                <w:color w:val="000000"/>
                <w:kern w:val="0"/>
                <w:sz w:val="15"/>
                <w:szCs w:val="15"/>
              </w:rPr>
              <w:t>Y≥10000</w:t>
            </w:r>
          </w:p>
        </w:tc>
        <w:tc>
          <w:tcPr>
            <w:tcW w:w="901" w:type="pct"/>
            <w:noWrap w:val="0"/>
            <w:vAlign w:val="center"/>
          </w:tcPr>
          <w:p w14:paraId="1AB4CF31">
            <w:pPr>
              <w:widowControl/>
              <w:jc w:val="center"/>
              <w:rPr>
                <w:rFonts w:ascii="宋体" w:hAnsi="宋体" w:cs="宋体"/>
                <w:color w:val="000000"/>
                <w:kern w:val="0"/>
                <w:sz w:val="15"/>
                <w:szCs w:val="15"/>
              </w:rPr>
            </w:pPr>
            <w:r>
              <w:rPr>
                <w:rFonts w:hint="eastAsia" w:ascii="宋体" w:hAnsi="宋体" w:cs="宋体"/>
                <w:color w:val="000000"/>
                <w:kern w:val="0"/>
                <w:sz w:val="15"/>
                <w:szCs w:val="15"/>
              </w:rPr>
              <w:t>2000≤Y＜10000</w:t>
            </w:r>
          </w:p>
        </w:tc>
        <w:tc>
          <w:tcPr>
            <w:tcW w:w="755" w:type="pct"/>
            <w:noWrap w:val="0"/>
            <w:vAlign w:val="center"/>
          </w:tcPr>
          <w:p w14:paraId="1B8DFC26">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100≤Y＜2000</w:t>
            </w:r>
          </w:p>
        </w:tc>
        <w:tc>
          <w:tcPr>
            <w:tcW w:w="525" w:type="pct"/>
            <w:noWrap w:val="0"/>
            <w:vAlign w:val="center"/>
          </w:tcPr>
          <w:p w14:paraId="7AFE6FAC">
            <w:pPr>
              <w:widowControl/>
              <w:jc w:val="center"/>
              <w:rPr>
                <w:rFonts w:ascii="宋体" w:hAnsi="宋体" w:cs="宋体"/>
                <w:color w:val="000000"/>
                <w:kern w:val="0"/>
                <w:sz w:val="15"/>
                <w:szCs w:val="15"/>
              </w:rPr>
            </w:pPr>
            <w:r>
              <w:rPr>
                <w:rFonts w:hint="eastAsia" w:ascii="宋体" w:hAnsi="宋体" w:cs="宋体"/>
                <w:color w:val="000000"/>
                <w:kern w:val="0"/>
                <w:sz w:val="15"/>
                <w:szCs w:val="15"/>
              </w:rPr>
              <w:t>Y＜100</w:t>
            </w:r>
          </w:p>
        </w:tc>
      </w:tr>
      <w:tr w14:paraId="5708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restart"/>
            <w:noWrap w:val="0"/>
            <w:vAlign w:val="center"/>
          </w:tcPr>
          <w:p w14:paraId="6FEFCC4F">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餐饮业</w:t>
            </w:r>
          </w:p>
        </w:tc>
        <w:tc>
          <w:tcPr>
            <w:tcW w:w="725" w:type="pct"/>
            <w:noWrap w:val="0"/>
            <w:vAlign w:val="center"/>
          </w:tcPr>
          <w:p w14:paraId="0B4BFE97">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44117972">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331DE541">
            <w:pPr>
              <w:widowControl/>
              <w:jc w:val="center"/>
              <w:rPr>
                <w:rFonts w:ascii="宋体" w:hAnsi="宋体" w:cs="宋体"/>
                <w:color w:val="000000"/>
                <w:kern w:val="0"/>
                <w:sz w:val="15"/>
                <w:szCs w:val="15"/>
              </w:rPr>
            </w:pPr>
            <w:r>
              <w:rPr>
                <w:rFonts w:hint="eastAsia" w:ascii="宋体" w:hAnsi="宋体" w:cs="宋体"/>
                <w:color w:val="000000"/>
                <w:kern w:val="0"/>
                <w:sz w:val="15"/>
                <w:szCs w:val="15"/>
              </w:rPr>
              <w:t>X≥300</w:t>
            </w:r>
          </w:p>
        </w:tc>
        <w:tc>
          <w:tcPr>
            <w:tcW w:w="901" w:type="pct"/>
            <w:noWrap w:val="0"/>
            <w:vAlign w:val="center"/>
          </w:tcPr>
          <w:p w14:paraId="18F56273">
            <w:pPr>
              <w:widowControl/>
              <w:ind w:left="-32" w:leftChars="-51" w:hanging="90" w:hangingChars="60"/>
              <w:jc w:val="center"/>
              <w:rPr>
                <w:rFonts w:ascii="宋体" w:hAnsi="宋体" w:cs="宋体"/>
                <w:color w:val="000000"/>
                <w:kern w:val="0"/>
                <w:sz w:val="15"/>
                <w:szCs w:val="15"/>
              </w:rPr>
            </w:pPr>
            <w:r>
              <w:rPr>
                <w:rFonts w:hint="eastAsia" w:ascii="宋体" w:hAnsi="宋体" w:cs="宋体"/>
                <w:color w:val="000000"/>
                <w:kern w:val="0"/>
                <w:sz w:val="15"/>
                <w:szCs w:val="15"/>
              </w:rPr>
              <w:t xml:space="preserve">100≤X＜300 </w:t>
            </w:r>
          </w:p>
        </w:tc>
        <w:tc>
          <w:tcPr>
            <w:tcW w:w="755" w:type="pct"/>
            <w:noWrap w:val="0"/>
            <w:vAlign w:val="center"/>
          </w:tcPr>
          <w:p w14:paraId="6A395AFD">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10≤X＜100</w:t>
            </w:r>
          </w:p>
        </w:tc>
        <w:tc>
          <w:tcPr>
            <w:tcW w:w="525" w:type="pct"/>
            <w:noWrap w:val="0"/>
            <w:vAlign w:val="center"/>
          </w:tcPr>
          <w:p w14:paraId="1DD95EF2">
            <w:pPr>
              <w:widowControl/>
              <w:jc w:val="center"/>
              <w:rPr>
                <w:rFonts w:ascii="宋体" w:hAnsi="宋体" w:cs="宋体"/>
                <w:color w:val="000000"/>
                <w:kern w:val="0"/>
                <w:sz w:val="15"/>
                <w:szCs w:val="15"/>
              </w:rPr>
            </w:pPr>
            <w:r>
              <w:rPr>
                <w:rFonts w:hint="eastAsia" w:ascii="宋体" w:hAnsi="宋体" w:cs="宋体"/>
                <w:color w:val="000000"/>
                <w:kern w:val="0"/>
                <w:sz w:val="15"/>
                <w:szCs w:val="15"/>
              </w:rPr>
              <w:t>X＜10</w:t>
            </w:r>
          </w:p>
        </w:tc>
      </w:tr>
      <w:tr w14:paraId="25824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continue"/>
            <w:noWrap w:val="0"/>
            <w:vAlign w:val="center"/>
          </w:tcPr>
          <w:p w14:paraId="30EE3C43">
            <w:pPr>
              <w:widowControl/>
              <w:jc w:val="left"/>
              <w:rPr>
                <w:rFonts w:ascii="宋体" w:hAnsi="宋体" w:cs="宋体"/>
                <w:color w:val="000000"/>
                <w:kern w:val="0"/>
                <w:sz w:val="15"/>
                <w:szCs w:val="15"/>
              </w:rPr>
            </w:pPr>
          </w:p>
        </w:tc>
        <w:tc>
          <w:tcPr>
            <w:tcW w:w="725" w:type="pct"/>
            <w:noWrap w:val="0"/>
            <w:vAlign w:val="center"/>
          </w:tcPr>
          <w:p w14:paraId="04F61673">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08D61F68">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015CD2D3">
            <w:pPr>
              <w:widowControl/>
              <w:jc w:val="center"/>
              <w:rPr>
                <w:rFonts w:ascii="宋体" w:hAnsi="宋体" w:cs="宋体"/>
                <w:color w:val="000000"/>
                <w:kern w:val="0"/>
                <w:sz w:val="15"/>
                <w:szCs w:val="15"/>
              </w:rPr>
            </w:pPr>
            <w:r>
              <w:rPr>
                <w:rFonts w:hint="eastAsia" w:ascii="宋体" w:hAnsi="宋体" w:cs="宋体"/>
                <w:color w:val="000000"/>
                <w:kern w:val="0"/>
                <w:sz w:val="15"/>
                <w:szCs w:val="15"/>
              </w:rPr>
              <w:t>Y≥10000</w:t>
            </w:r>
          </w:p>
        </w:tc>
        <w:tc>
          <w:tcPr>
            <w:tcW w:w="901" w:type="pct"/>
            <w:noWrap w:val="0"/>
            <w:vAlign w:val="center"/>
          </w:tcPr>
          <w:p w14:paraId="1C380249">
            <w:pPr>
              <w:widowControl/>
              <w:jc w:val="center"/>
              <w:rPr>
                <w:rFonts w:ascii="宋体" w:hAnsi="宋体" w:cs="宋体"/>
                <w:color w:val="000000"/>
                <w:kern w:val="0"/>
                <w:sz w:val="15"/>
                <w:szCs w:val="15"/>
              </w:rPr>
            </w:pPr>
            <w:r>
              <w:rPr>
                <w:rFonts w:hint="eastAsia" w:ascii="宋体" w:hAnsi="宋体" w:cs="宋体"/>
                <w:color w:val="000000"/>
                <w:kern w:val="0"/>
                <w:sz w:val="15"/>
                <w:szCs w:val="15"/>
              </w:rPr>
              <w:t>2000≤Y＜10000</w:t>
            </w:r>
          </w:p>
        </w:tc>
        <w:tc>
          <w:tcPr>
            <w:tcW w:w="755" w:type="pct"/>
            <w:noWrap w:val="0"/>
            <w:vAlign w:val="center"/>
          </w:tcPr>
          <w:p w14:paraId="529F825E">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100≤Y＜2000</w:t>
            </w:r>
          </w:p>
        </w:tc>
        <w:tc>
          <w:tcPr>
            <w:tcW w:w="525" w:type="pct"/>
            <w:noWrap w:val="0"/>
            <w:vAlign w:val="center"/>
          </w:tcPr>
          <w:p w14:paraId="7F93E1F8">
            <w:pPr>
              <w:widowControl/>
              <w:jc w:val="center"/>
              <w:rPr>
                <w:rFonts w:ascii="宋体" w:hAnsi="宋体" w:cs="宋体"/>
                <w:color w:val="000000"/>
                <w:kern w:val="0"/>
                <w:sz w:val="15"/>
                <w:szCs w:val="15"/>
              </w:rPr>
            </w:pPr>
            <w:r>
              <w:rPr>
                <w:rFonts w:hint="eastAsia" w:ascii="宋体" w:hAnsi="宋体" w:cs="宋体"/>
                <w:color w:val="000000"/>
                <w:kern w:val="0"/>
                <w:sz w:val="15"/>
                <w:szCs w:val="15"/>
              </w:rPr>
              <w:t>Y＜100</w:t>
            </w:r>
          </w:p>
        </w:tc>
      </w:tr>
      <w:tr w14:paraId="14063E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exact"/>
          <w:jc w:val="center"/>
        </w:trPr>
        <w:tc>
          <w:tcPr>
            <w:tcW w:w="1121" w:type="pct"/>
            <w:vMerge w:val="restart"/>
            <w:noWrap w:val="0"/>
            <w:vAlign w:val="center"/>
          </w:tcPr>
          <w:p w14:paraId="41F4E790">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信息传输业 *</w:t>
            </w:r>
          </w:p>
        </w:tc>
        <w:tc>
          <w:tcPr>
            <w:tcW w:w="725" w:type="pct"/>
            <w:noWrap w:val="0"/>
            <w:vAlign w:val="center"/>
          </w:tcPr>
          <w:p w14:paraId="205E3CE7">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18E25169">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02C12E26">
            <w:pPr>
              <w:widowControl/>
              <w:jc w:val="center"/>
              <w:rPr>
                <w:rFonts w:ascii="宋体" w:hAnsi="宋体" w:cs="宋体"/>
                <w:color w:val="000000"/>
                <w:kern w:val="0"/>
                <w:sz w:val="15"/>
                <w:szCs w:val="15"/>
              </w:rPr>
            </w:pPr>
            <w:r>
              <w:rPr>
                <w:rFonts w:hint="eastAsia" w:ascii="宋体" w:hAnsi="宋体" w:cs="宋体"/>
                <w:color w:val="000000"/>
                <w:kern w:val="0"/>
                <w:sz w:val="15"/>
                <w:szCs w:val="15"/>
              </w:rPr>
              <w:t>X≥2000</w:t>
            </w:r>
          </w:p>
        </w:tc>
        <w:tc>
          <w:tcPr>
            <w:tcW w:w="901" w:type="pct"/>
            <w:noWrap w:val="0"/>
            <w:vAlign w:val="center"/>
          </w:tcPr>
          <w:p w14:paraId="7FA9D614">
            <w:pPr>
              <w:widowControl/>
              <w:jc w:val="center"/>
              <w:rPr>
                <w:rFonts w:ascii="宋体" w:hAnsi="宋体" w:cs="宋体"/>
                <w:color w:val="000000"/>
                <w:kern w:val="0"/>
                <w:sz w:val="15"/>
                <w:szCs w:val="15"/>
              </w:rPr>
            </w:pPr>
            <w:r>
              <w:rPr>
                <w:rFonts w:hint="eastAsia" w:ascii="宋体" w:hAnsi="宋体" w:cs="宋体"/>
                <w:color w:val="000000"/>
                <w:kern w:val="0"/>
                <w:sz w:val="15"/>
                <w:szCs w:val="15"/>
              </w:rPr>
              <w:t>100≤X＜2000</w:t>
            </w:r>
          </w:p>
        </w:tc>
        <w:tc>
          <w:tcPr>
            <w:tcW w:w="755" w:type="pct"/>
            <w:noWrap w:val="0"/>
            <w:vAlign w:val="center"/>
          </w:tcPr>
          <w:p w14:paraId="7C6E15B0">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10≤X＜100</w:t>
            </w:r>
          </w:p>
        </w:tc>
        <w:tc>
          <w:tcPr>
            <w:tcW w:w="525" w:type="pct"/>
            <w:noWrap w:val="0"/>
            <w:vAlign w:val="center"/>
          </w:tcPr>
          <w:p w14:paraId="3C9574E9">
            <w:pPr>
              <w:widowControl/>
              <w:jc w:val="center"/>
              <w:rPr>
                <w:rFonts w:ascii="宋体" w:hAnsi="宋体" w:cs="宋体"/>
                <w:color w:val="000000"/>
                <w:kern w:val="0"/>
                <w:sz w:val="15"/>
                <w:szCs w:val="15"/>
              </w:rPr>
            </w:pPr>
            <w:r>
              <w:rPr>
                <w:rFonts w:hint="eastAsia" w:ascii="宋体" w:hAnsi="宋体" w:cs="宋体"/>
                <w:color w:val="000000"/>
                <w:kern w:val="0"/>
                <w:sz w:val="15"/>
                <w:szCs w:val="15"/>
              </w:rPr>
              <w:t>X＜10</w:t>
            </w:r>
          </w:p>
        </w:tc>
      </w:tr>
      <w:tr w14:paraId="7367E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exact"/>
          <w:jc w:val="center"/>
        </w:trPr>
        <w:tc>
          <w:tcPr>
            <w:tcW w:w="1121" w:type="pct"/>
            <w:vMerge w:val="continue"/>
            <w:noWrap w:val="0"/>
            <w:vAlign w:val="center"/>
          </w:tcPr>
          <w:p w14:paraId="3D00B28B">
            <w:pPr>
              <w:widowControl/>
              <w:jc w:val="left"/>
              <w:rPr>
                <w:rFonts w:ascii="宋体" w:hAnsi="宋体" w:cs="宋体"/>
                <w:color w:val="000000"/>
                <w:kern w:val="0"/>
                <w:sz w:val="15"/>
                <w:szCs w:val="15"/>
              </w:rPr>
            </w:pPr>
          </w:p>
        </w:tc>
        <w:tc>
          <w:tcPr>
            <w:tcW w:w="725" w:type="pct"/>
            <w:noWrap w:val="0"/>
            <w:vAlign w:val="center"/>
          </w:tcPr>
          <w:p w14:paraId="2A7EFA66">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1139BF6C">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0626528B">
            <w:pPr>
              <w:widowControl/>
              <w:jc w:val="center"/>
              <w:rPr>
                <w:rFonts w:ascii="宋体" w:hAnsi="宋体" w:cs="宋体"/>
                <w:color w:val="000000"/>
                <w:kern w:val="0"/>
                <w:sz w:val="15"/>
                <w:szCs w:val="15"/>
              </w:rPr>
            </w:pPr>
            <w:r>
              <w:rPr>
                <w:rFonts w:hint="eastAsia" w:ascii="宋体" w:hAnsi="宋体" w:cs="宋体"/>
                <w:color w:val="000000"/>
                <w:kern w:val="0"/>
                <w:sz w:val="15"/>
                <w:szCs w:val="15"/>
              </w:rPr>
              <w:t>Y≥100000</w:t>
            </w:r>
          </w:p>
        </w:tc>
        <w:tc>
          <w:tcPr>
            <w:tcW w:w="901" w:type="pct"/>
            <w:noWrap w:val="0"/>
            <w:vAlign w:val="center"/>
          </w:tcPr>
          <w:p w14:paraId="4B51D8E9">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1000≤Y＜100000</w:t>
            </w:r>
          </w:p>
        </w:tc>
        <w:tc>
          <w:tcPr>
            <w:tcW w:w="755" w:type="pct"/>
            <w:noWrap w:val="0"/>
            <w:vAlign w:val="center"/>
          </w:tcPr>
          <w:p w14:paraId="50CD40FE">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100≤Y＜1000</w:t>
            </w:r>
          </w:p>
        </w:tc>
        <w:tc>
          <w:tcPr>
            <w:tcW w:w="525" w:type="pct"/>
            <w:noWrap w:val="0"/>
            <w:vAlign w:val="center"/>
          </w:tcPr>
          <w:p w14:paraId="765D84F9">
            <w:pPr>
              <w:widowControl/>
              <w:jc w:val="center"/>
              <w:rPr>
                <w:rFonts w:ascii="宋体" w:hAnsi="宋体" w:cs="宋体"/>
                <w:color w:val="000000"/>
                <w:kern w:val="0"/>
                <w:sz w:val="15"/>
                <w:szCs w:val="15"/>
              </w:rPr>
            </w:pPr>
            <w:r>
              <w:rPr>
                <w:rFonts w:hint="eastAsia" w:ascii="宋体" w:hAnsi="宋体" w:cs="宋体"/>
                <w:color w:val="000000"/>
                <w:kern w:val="0"/>
                <w:sz w:val="15"/>
                <w:szCs w:val="15"/>
              </w:rPr>
              <w:t>Y＜100</w:t>
            </w:r>
          </w:p>
        </w:tc>
      </w:tr>
      <w:tr w14:paraId="279C5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exact"/>
          <w:jc w:val="center"/>
        </w:trPr>
        <w:tc>
          <w:tcPr>
            <w:tcW w:w="1121" w:type="pct"/>
            <w:vMerge w:val="restart"/>
            <w:noWrap w:val="0"/>
            <w:vAlign w:val="center"/>
          </w:tcPr>
          <w:p w14:paraId="526C5B72">
            <w:pPr>
              <w:widowControl/>
              <w:spacing w:line="240" w:lineRule="exact"/>
              <w:jc w:val="left"/>
              <w:rPr>
                <w:rFonts w:ascii="宋体" w:hAnsi="宋体" w:cs="宋体"/>
                <w:color w:val="000000"/>
                <w:spacing w:val="-12"/>
                <w:kern w:val="0"/>
                <w:sz w:val="15"/>
                <w:szCs w:val="15"/>
              </w:rPr>
            </w:pPr>
            <w:r>
              <w:rPr>
                <w:rFonts w:hint="eastAsia" w:ascii="宋体" w:hAnsi="宋体" w:cs="宋体"/>
                <w:color w:val="000000"/>
                <w:spacing w:val="-12"/>
                <w:kern w:val="0"/>
                <w:sz w:val="15"/>
                <w:szCs w:val="15"/>
              </w:rPr>
              <w:t>软件和信息技术服</w:t>
            </w:r>
            <w:r>
              <w:rPr>
                <w:rFonts w:hint="eastAsia" w:ascii="宋体" w:hAnsi="宋体" w:cs="宋体"/>
                <w:color w:val="000000"/>
                <w:kern w:val="0"/>
                <w:sz w:val="15"/>
                <w:szCs w:val="15"/>
              </w:rPr>
              <w:t>务业</w:t>
            </w:r>
          </w:p>
        </w:tc>
        <w:tc>
          <w:tcPr>
            <w:tcW w:w="725" w:type="pct"/>
            <w:noWrap w:val="0"/>
            <w:vAlign w:val="center"/>
          </w:tcPr>
          <w:p w14:paraId="79773D28">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12A4999D">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66534935">
            <w:pPr>
              <w:widowControl/>
              <w:jc w:val="center"/>
              <w:rPr>
                <w:rFonts w:ascii="宋体" w:hAnsi="宋体" w:cs="宋体"/>
                <w:color w:val="000000"/>
                <w:kern w:val="0"/>
                <w:sz w:val="15"/>
                <w:szCs w:val="15"/>
              </w:rPr>
            </w:pPr>
            <w:r>
              <w:rPr>
                <w:rFonts w:hint="eastAsia" w:ascii="宋体" w:hAnsi="宋体" w:cs="宋体"/>
                <w:color w:val="000000"/>
                <w:kern w:val="0"/>
                <w:sz w:val="15"/>
                <w:szCs w:val="15"/>
              </w:rPr>
              <w:t>X≥300</w:t>
            </w:r>
          </w:p>
        </w:tc>
        <w:tc>
          <w:tcPr>
            <w:tcW w:w="901" w:type="pct"/>
            <w:noWrap w:val="0"/>
            <w:vAlign w:val="center"/>
          </w:tcPr>
          <w:p w14:paraId="48CA2C74">
            <w:pPr>
              <w:widowControl/>
              <w:ind w:left="-32" w:leftChars="-51" w:hanging="90" w:hangingChars="60"/>
              <w:jc w:val="center"/>
              <w:rPr>
                <w:rFonts w:ascii="宋体" w:hAnsi="宋体" w:cs="宋体"/>
                <w:color w:val="000000"/>
                <w:kern w:val="0"/>
                <w:sz w:val="15"/>
                <w:szCs w:val="15"/>
              </w:rPr>
            </w:pPr>
            <w:r>
              <w:rPr>
                <w:rFonts w:hint="eastAsia" w:ascii="宋体" w:hAnsi="宋体" w:cs="宋体"/>
                <w:color w:val="000000"/>
                <w:kern w:val="0"/>
                <w:sz w:val="15"/>
                <w:szCs w:val="15"/>
              </w:rPr>
              <w:t xml:space="preserve">100≤X＜300 </w:t>
            </w:r>
          </w:p>
        </w:tc>
        <w:tc>
          <w:tcPr>
            <w:tcW w:w="755" w:type="pct"/>
            <w:noWrap w:val="0"/>
            <w:vAlign w:val="center"/>
          </w:tcPr>
          <w:p w14:paraId="3CB69C76">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10≤X＜100</w:t>
            </w:r>
          </w:p>
        </w:tc>
        <w:tc>
          <w:tcPr>
            <w:tcW w:w="525" w:type="pct"/>
            <w:noWrap w:val="0"/>
            <w:vAlign w:val="center"/>
          </w:tcPr>
          <w:p w14:paraId="3D6B1BF7">
            <w:pPr>
              <w:widowControl/>
              <w:jc w:val="center"/>
              <w:rPr>
                <w:rFonts w:ascii="宋体" w:hAnsi="宋体" w:cs="宋体"/>
                <w:color w:val="000000"/>
                <w:kern w:val="0"/>
                <w:sz w:val="15"/>
                <w:szCs w:val="15"/>
              </w:rPr>
            </w:pPr>
            <w:r>
              <w:rPr>
                <w:rFonts w:hint="eastAsia" w:ascii="宋体" w:hAnsi="宋体" w:cs="宋体"/>
                <w:color w:val="000000"/>
                <w:kern w:val="0"/>
                <w:sz w:val="15"/>
                <w:szCs w:val="15"/>
              </w:rPr>
              <w:t>X＜10</w:t>
            </w:r>
          </w:p>
        </w:tc>
      </w:tr>
      <w:tr w14:paraId="3BA435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exact"/>
          <w:jc w:val="center"/>
        </w:trPr>
        <w:tc>
          <w:tcPr>
            <w:tcW w:w="1121" w:type="pct"/>
            <w:vMerge w:val="continue"/>
            <w:noWrap w:val="0"/>
            <w:vAlign w:val="center"/>
          </w:tcPr>
          <w:p w14:paraId="5FF455D1">
            <w:pPr>
              <w:widowControl/>
              <w:jc w:val="left"/>
              <w:rPr>
                <w:rFonts w:ascii="宋体" w:hAnsi="宋体" w:cs="宋体"/>
                <w:color w:val="000000"/>
                <w:spacing w:val="-12"/>
                <w:kern w:val="0"/>
                <w:sz w:val="15"/>
                <w:szCs w:val="15"/>
              </w:rPr>
            </w:pPr>
          </w:p>
        </w:tc>
        <w:tc>
          <w:tcPr>
            <w:tcW w:w="725" w:type="pct"/>
            <w:noWrap w:val="0"/>
            <w:vAlign w:val="center"/>
          </w:tcPr>
          <w:p w14:paraId="21ECACDF">
            <w:pPr>
              <w:widowControl/>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34770710">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460172C6">
            <w:pPr>
              <w:widowControl/>
              <w:jc w:val="center"/>
              <w:rPr>
                <w:rFonts w:ascii="宋体" w:hAnsi="宋体" w:cs="宋体"/>
                <w:color w:val="000000"/>
                <w:kern w:val="0"/>
                <w:sz w:val="15"/>
                <w:szCs w:val="15"/>
              </w:rPr>
            </w:pPr>
            <w:r>
              <w:rPr>
                <w:rFonts w:hint="eastAsia" w:ascii="宋体" w:hAnsi="宋体" w:cs="宋体"/>
                <w:color w:val="000000"/>
                <w:kern w:val="0"/>
                <w:sz w:val="15"/>
                <w:szCs w:val="15"/>
              </w:rPr>
              <w:t>Y≥10000</w:t>
            </w:r>
          </w:p>
        </w:tc>
        <w:tc>
          <w:tcPr>
            <w:tcW w:w="901" w:type="pct"/>
            <w:noWrap w:val="0"/>
            <w:vAlign w:val="center"/>
          </w:tcPr>
          <w:p w14:paraId="648654FB">
            <w:pPr>
              <w:widowControl/>
              <w:jc w:val="center"/>
              <w:rPr>
                <w:rFonts w:ascii="宋体" w:hAnsi="宋体" w:cs="宋体"/>
                <w:color w:val="000000"/>
                <w:kern w:val="0"/>
                <w:sz w:val="15"/>
                <w:szCs w:val="15"/>
              </w:rPr>
            </w:pPr>
            <w:r>
              <w:rPr>
                <w:rFonts w:hint="eastAsia" w:ascii="宋体" w:hAnsi="宋体" w:cs="宋体"/>
                <w:color w:val="000000"/>
                <w:kern w:val="0"/>
                <w:sz w:val="15"/>
                <w:szCs w:val="15"/>
              </w:rPr>
              <w:t>1000≤Y＜10000</w:t>
            </w:r>
          </w:p>
        </w:tc>
        <w:tc>
          <w:tcPr>
            <w:tcW w:w="755" w:type="pct"/>
            <w:noWrap w:val="0"/>
            <w:vAlign w:val="center"/>
          </w:tcPr>
          <w:p w14:paraId="44416D9D">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50≤Y＜1000</w:t>
            </w:r>
          </w:p>
        </w:tc>
        <w:tc>
          <w:tcPr>
            <w:tcW w:w="525" w:type="pct"/>
            <w:noWrap w:val="0"/>
            <w:vAlign w:val="center"/>
          </w:tcPr>
          <w:p w14:paraId="42985740">
            <w:pPr>
              <w:widowControl/>
              <w:jc w:val="center"/>
              <w:rPr>
                <w:rFonts w:ascii="宋体" w:hAnsi="宋体" w:cs="宋体"/>
                <w:color w:val="000000"/>
                <w:kern w:val="0"/>
                <w:sz w:val="15"/>
                <w:szCs w:val="15"/>
              </w:rPr>
            </w:pPr>
            <w:r>
              <w:rPr>
                <w:rFonts w:hint="eastAsia" w:ascii="宋体" w:hAnsi="宋体" w:cs="宋体"/>
                <w:color w:val="000000"/>
                <w:kern w:val="0"/>
                <w:sz w:val="15"/>
                <w:szCs w:val="15"/>
              </w:rPr>
              <w:t>Y＜50</w:t>
            </w:r>
          </w:p>
        </w:tc>
      </w:tr>
      <w:tr w14:paraId="3D260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exact"/>
          <w:jc w:val="center"/>
        </w:trPr>
        <w:tc>
          <w:tcPr>
            <w:tcW w:w="1121" w:type="pct"/>
            <w:vMerge w:val="restart"/>
            <w:noWrap w:val="0"/>
            <w:vAlign w:val="center"/>
          </w:tcPr>
          <w:p w14:paraId="6BBF5150">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房地产开发经营</w:t>
            </w:r>
          </w:p>
        </w:tc>
        <w:tc>
          <w:tcPr>
            <w:tcW w:w="725" w:type="pct"/>
            <w:noWrap w:val="0"/>
            <w:vAlign w:val="center"/>
          </w:tcPr>
          <w:p w14:paraId="6824E5CE">
            <w:pPr>
              <w:widowControl/>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6F2D4F3D">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7E850261">
            <w:pPr>
              <w:widowControl/>
              <w:jc w:val="center"/>
              <w:rPr>
                <w:rFonts w:ascii="宋体" w:hAnsi="宋体" w:cs="宋体"/>
                <w:color w:val="000000"/>
                <w:kern w:val="0"/>
                <w:sz w:val="15"/>
                <w:szCs w:val="15"/>
              </w:rPr>
            </w:pPr>
            <w:r>
              <w:rPr>
                <w:rFonts w:hint="eastAsia" w:ascii="宋体" w:hAnsi="宋体" w:cs="宋体"/>
                <w:color w:val="000000"/>
                <w:kern w:val="0"/>
                <w:sz w:val="15"/>
                <w:szCs w:val="15"/>
              </w:rPr>
              <w:t>Y≥200000</w:t>
            </w:r>
          </w:p>
        </w:tc>
        <w:tc>
          <w:tcPr>
            <w:tcW w:w="901" w:type="pct"/>
            <w:noWrap w:val="0"/>
            <w:vAlign w:val="center"/>
          </w:tcPr>
          <w:p w14:paraId="4775AFAF">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1000≤Y＜200000</w:t>
            </w:r>
          </w:p>
        </w:tc>
        <w:tc>
          <w:tcPr>
            <w:tcW w:w="755" w:type="pct"/>
            <w:noWrap w:val="0"/>
            <w:vAlign w:val="center"/>
          </w:tcPr>
          <w:p w14:paraId="4155360F">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100≤Y＜1000</w:t>
            </w:r>
          </w:p>
        </w:tc>
        <w:tc>
          <w:tcPr>
            <w:tcW w:w="525" w:type="pct"/>
            <w:noWrap w:val="0"/>
            <w:vAlign w:val="center"/>
          </w:tcPr>
          <w:p w14:paraId="78FF4ECD">
            <w:pPr>
              <w:widowControl/>
              <w:jc w:val="center"/>
              <w:rPr>
                <w:rFonts w:ascii="宋体" w:hAnsi="宋体" w:cs="宋体"/>
                <w:color w:val="000000"/>
                <w:kern w:val="0"/>
                <w:sz w:val="15"/>
                <w:szCs w:val="15"/>
              </w:rPr>
            </w:pPr>
            <w:r>
              <w:rPr>
                <w:rFonts w:hint="eastAsia" w:ascii="宋体" w:hAnsi="宋体" w:cs="宋体"/>
                <w:color w:val="000000"/>
                <w:kern w:val="0"/>
                <w:sz w:val="15"/>
                <w:szCs w:val="15"/>
              </w:rPr>
              <w:t>Y＜100</w:t>
            </w:r>
          </w:p>
        </w:tc>
      </w:tr>
      <w:tr w14:paraId="17D55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exact"/>
          <w:jc w:val="center"/>
        </w:trPr>
        <w:tc>
          <w:tcPr>
            <w:tcW w:w="1121" w:type="pct"/>
            <w:vMerge w:val="continue"/>
            <w:noWrap w:val="0"/>
            <w:vAlign w:val="center"/>
          </w:tcPr>
          <w:p w14:paraId="51E72064">
            <w:pPr>
              <w:widowControl/>
              <w:jc w:val="left"/>
              <w:rPr>
                <w:rFonts w:ascii="宋体" w:hAnsi="宋体" w:cs="宋体"/>
                <w:color w:val="000000"/>
                <w:kern w:val="0"/>
                <w:sz w:val="15"/>
                <w:szCs w:val="15"/>
              </w:rPr>
            </w:pPr>
          </w:p>
        </w:tc>
        <w:tc>
          <w:tcPr>
            <w:tcW w:w="725" w:type="pct"/>
            <w:noWrap w:val="0"/>
            <w:vAlign w:val="center"/>
          </w:tcPr>
          <w:p w14:paraId="112630F7">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资产总额(Z)</w:t>
            </w:r>
          </w:p>
        </w:tc>
        <w:tc>
          <w:tcPr>
            <w:tcW w:w="373" w:type="pct"/>
            <w:noWrap w:val="0"/>
            <w:vAlign w:val="center"/>
          </w:tcPr>
          <w:p w14:paraId="7309EA51">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27790A91">
            <w:pPr>
              <w:widowControl/>
              <w:jc w:val="center"/>
              <w:rPr>
                <w:rFonts w:ascii="宋体" w:hAnsi="宋体" w:cs="宋体"/>
                <w:color w:val="000000"/>
                <w:kern w:val="0"/>
                <w:sz w:val="15"/>
                <w:szCs w:val="15"/>
              </w:rPr>
            </w:pPr>
            <w:r>
              <w:rPr>
                <w:rFonts w:hint="eastAsia" w:ascii="宋体" w:hAnsi="宋体" w:cs="宋体"/>
                <w:color w:val="000000"/>
                <w:kern w:val="0"/>
                <w:sz w:val="15"/>
                <w:szCs w:val="15"/>
              </w:rPr>
              <w:t>Z≥10000</w:t>
            </w:r>
          </w:p>
        </w:tc>
        <w:tc>
          <w:tcPr>
            <w:tcW w:w="901" w:type="pct"/>
            <w:noWrap w:val="0"/>
            <w:vAlign w:val="center"/>
          </w:tcPr>
          <w:p w14:paraId="5BEFD45F">
            <w:pPr>
              <w:widowControl/>
              <w:jc w:val="center"/>
              <w:rPr>
                <w:rFonts w:ascii="宋体" w:hAnsi="宋体" w:cs="宋体"/>
                <w:color w:val="000000"/>
                <w:kern w:val="0"/>
                <w:sz w:val="15"/>
                <w:szCs w:val="15"/>
              </w:rPr>
            </w:pPr>
            <w:r>
              <w:rPr>
                <w:rFonts w:hint="eastAsia" w:ascii="宋体" w:hAnsi="宋体" w:cs="宋体"/>
                <w:color w:val="000000"/>
                <w:kern w:val="0"/>
                <w:sz w:val="15"/>
                <w:szCs w:val="15"/>
              </w:rPr>
              <w:t>5000≤Z＜10000</w:t>
            </w:r>
          </w:p>
        </w:tc>
        <w:tc>
          <w:tcPr>
            <w:tcW w:w="755" w:type="pct"/>
            <w:noWrap w:val="0"/>
            <w:vAlign w:val="center"/>
          </w:tcPr>
          <w:p w14:paraId="617D82B1">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2000≤Z＜5000   </w:t>
            </w:r>
          </w:p>
        </w:tc>
        <w:tc>
          <w:tcPr>
            <w:tcW w:w="525" w:type="pct"/>
            <w:noWrap w:val="0"/>
            <w:vAlign w:val="center"/>
          </w:tcPr>
          <w:p w14:paraId="7ADCBC99">
            <w:pPr>
              <w:widowControl/>
              <w:jc w:val="center"/>
              <w:rPr>
                <w:rFonts w:ascii="宋体" w:hAnsi="宋体" w:cs="宋体"/>
                <w:color w:val="000000"/>
                <w:kern w:val="0"/>
                <w:sz w:val="15"/>
                <w:szCs w:val="15"/>
              </w:rPr>
            </w:pPr>
            <w:r>
              <w:rPr>
                <w:rFonts w:hint="eastAsia" w:ascii="宋体" w:hAnsi="宋体" w:cs="宋体"/>
                <w:color w:val="000000"/>
                <w:kern w:val="0"/>
                <w:sz w:val="15"/>
                <w:szCs w:val="15"/>
              </w:rPr>
              <w:t>Z＜2000</w:t>
            </w:r>
          </w:p>
        </w:tc>
      </w:tr>
      <w:tr w14:paraId="18D78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exact"/>
          <w:jc w:val="center"/>
        </w:trPr>
        <w:tc>
          <w:tcPr>
            <w:tcW w:w="1121" w:type="pct"/>
            <w:vMerge w:val="restart"/>
            <w:noWrap w:val="0"/>
            <w:vAlign w:val="center"/>
          </w:tcPr>
          <w:p w14:paraId="44E98A61">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物业管理</w:t>
            </w:r>
          </w:p>
        </w:tc>
        <w:tc>
          <w:tcPr>
            <w:tcW w:w="725" w:type="pct"/>
            <w:noWrap w:val="0"/>
            <w:vAlign w:val="center"/>
          </w:tcPr>
          <w:p w14:paraId="207CED5E">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71346ACE">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3694CF25">
            <w:pPr>
              <w:widowControl/>
              <w:jc w:val="center"/>
              <w:rPr>
                <w:rFonts w:ascii="宋体" w:hAnsi="宋体" w:cs="宋体"/>
                <w:color w:val="000000"/>
                <w:kern w:val="0"/>
                <w:sz w:val="15"/>
                <w:szCs w:val="15"/>
              </w:rPr>
            </w:pPr>
            <w:r>
              <w:rPr>
                <w:rFonts w:hint="eastAsia" w:ascii="宋体" w:hAnsi="宋体" w:cs="宋体"/>
                <w:color w:val="000000"/>
                <w:kern w:val="0"/>
                <w:sz w:val="15"/>
                <w:szCs w:val="15"/>
              </w:rPr>
              <w:t>X≥1000</w:t>
            </w:r>
          </w:p>
        </w:tc>
        <w:tc>
          <w:tcPr>
            <w:tcW w:w="901" w:type="pct"/>
            <w:noWrap w:val="0"/>
            <w:vAlign w:val="center"/>
          </w:tcPr>
          <w:p w14:paraId="1A8B0F19">
            <w:pPr>
              <w:widowControl/>
              <w:jc w:val="center"/>
              <w:rPr>
                <w:rFonts w:ascii="宋体" w:hAnsi="宋体" w:cs="宋体"/>
                <w:color w:val="000000"/>
                <w:kern w:val="0"/>
                <w:sz w:val="15"/>
                <w:szCs w:val="15"/>
              </w:rPr>
            </w:pPr>
            <w:r>
              <w:rPr>
                <w:rFonts w:hint="eastAsia" w:ascii="宋体" w:hAnsi="宋体" w:cs="宋体"/>
                <w:color w:val="000000"/>
                <w:kern w:val="0"/>
                <w:sz w:val="15"/>
                <w:szCs w:val="15"/>
              </w:rPr>
              <w:t>300≤X＜1000</w:t>
            </w:r>
          </w:p>
        </w:tc>
        <w:tc>
          <w:tcPr>
            <w:tcW w:w="755" w:type="pct"/>
            <w:noWrap w:val="0"/>
            <w:vAlign w:val="center"/>
          </w:tcPr>
          <w:p w14:paraId="227D3B6F">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100≤X＜300 </w:t>
            </w:r>
          </w:p>
        </w:tc>
        <w:tc>
          <w:tcPr>
            <w:tcW w:w="525" w:type="pct"/>
            <w:noWrap w:val="0"/>
            <w:vAlign w:val="center"/>
          </w:tcPr>
          <w:p w14:paraId="43A5373E">
            <w:pPr>
              <w:widowControl/>
              <w:jc w:val="center"/>
              <w:rPr>
                <w:rFonts w:ascii="宋体" w:hAnsi="宋体" w:cs="宋体"/>
                <w:color w:val="000000"/>
                <w:kern w:val="0"/>
                <w:sz w:val="15"/>
                <w:szCs w:val="15"/>
              </w:rPr>
            </w:pPr>
            <w:r>
              <w:rPr>
                <w:rFonts w:hint="eastAsia" w:ascii="宋体" w:hAnsi="宋体" w:cs="宋体"/>
                <w:color w:val="000000"/>
                <w:kern w:val="0"/>
                <w:sz w:val="15"/>
                <w:szCs w:val="15"/>
              </w:rPr>
              <w:t>X＜100</w:t>
            </w:r>
          </w:p>
        </w:tc>
      </w:tr>
      <w:tr w14:paraId="225DA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exact"/>
          <w:jc w:val="center"/>
        </w:trPr>
        <w:tc>
          <w:tcPr>
            <w:tcW w:w="1121" w:type="pct"/>
            <w:vMerge w:val="continue"/>
            <w:noWrap w:val="0"/>
            <w:vAlign w:val="center"/>
          </w:tcPr>
          <w:p w14:paraId="24CA84CB">
            <w:pPr>
              <w:widowControl/>
              <w:jc w:val="left"/>
              <w:rPr>
                <w:rFonts w:ascii="宋体" w:hAnsi="宋体" w:cs="宋体"/>
                <w:color w:val="000000"/>
                <w:kern w:val="0"/>
                <w:sz w:val="15"/>
                <w:szCs w:val="15"/>
              </w:rPr>
            </w:pPr>
          </w:p>
        </w:tc>
        <w:tc>
          <w:tcPr>
            <w:tcW w:w="725" w:type="pct"/>
            <w:noWrap w:val="0"/>
            <w:vAlign w:val="center"/>
          </w:tcPr>
          <w:p w14:paraId="5085480A">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营业收入(Y)</w:t>
            </w:r>
          </w:p>
        </w:tc>
        <w:tc>
          <w:tcPr>
            <w:tcW w:w="373" w:type="pct"/>
            <w:noWrap w:val="0"/>
            <w:vAlign w:val="center"/>
          </w:tcPr>
          <w:p w14:paraId="0D35FADB">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5DBEEDDB">
            <w:pPr>
              <w:widowControl/>
              <w:jc w:val="center"/>
              <w:rPr>
                <w:rFonts w:ascii="宋体" w:hAnsi="宋体" w:cs="宋体"/>
                <w:color w:val="000000"/>
                <w:kern w:val="0"/>
                <w:sz w:val="15"/>
                <w:szCs w:val="15"/>
              </w:rPr>
            </w:pPr>
            <w:r>
              <w:rPr>
                <w:rFonts w:hint="eastAsia" w:ascii="宋体" w:hAnsi="宋体" w:cs="宋体"/>
                <w:color w:val="000000"/>
                <w:kern w:val="0"/>
                <w:sz w:val="15"/>
                <w:szCs w:val="15"/>
              </w:rPr>
              <w:t>Y≥5000</w:t>
            </w:r>
          </w:p>
        </w:tc>
        <w:tc>
          <w:tcPr>
            <w:tcW w:w="901" w:type="pct"/>
            <w:noWrap w:val="0"/>
            <w:vAlign w:val="center"/>
          </w:tcPr>
          <w:p w14:paraId="7FF00E92">
            <w:pPr>
              <w:widowControl/>
              <w:ind w:left="-32" w:leftChars="-51" w:hanging="90" w:hangingChars="60"/>
              <w:jc w:val="center"/>
              <w:rPr>
                <w:rFonts w:ascii="宋体" w:hAnsi="宋体" w:cs="宋体"/>
                <w:color w:val="000000"/>
                <w:kern w:val="0"/>
                <w:sz w:val="15"/>
                <w:szCs w:val="15"/>
              </w:rPr>
            </w:pPr>
            <w:r>
              <w:rPr>
                <w:rFonts w:hint="eastAsia" w:ascii="宋体" w:hAnsi="宋体" w:cs="宋体"/>
                <w:color w:val="000000"/>
                <w:kern w:val="0"/>
                <w:sz w:val="15"/>
                <w:szCs w:val="15"/>
              </w:rPr>
              <w:t xml:space="preserve">1000≤Y＜5000 </w:t>
            </w:r>
          </w:p>
        </w:tc>
        <w:tc>
          <w:tcPr>
            <w:tcW w:w="755" w:type="pct"/>
            <w:noWrap w:val="0"/>
            <w:vAlign w:val="center"/>
          </w:tcPr>
          <w:p w14:paraId="4F041E97">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500≤Y＜1000</w:t>
            </w:r>
          </w:p>
        </w:tc>
        <w:tc>
          <w:tcPr>
            <w:tcW w:w="525" w:type="pct"/>
            <w:noWrap w:val="0"/>
            <w:vAlign w:val="center"/>
          </w:tcPr>
          <w:p w14:paraId="324B400D">
            <w:pPr>
              <w:widowControl/>
              <w:jc w:val="center"/>
              <w:rPr>
                <w:rFonts w:ascii="宋体" w:hAnsi="宋体" w:cs="宋体"/>
                <w:color w:val="000000"/>
                <w:kern w:val="0"/>
                <w:sz w:val="15"/>
                <w:szCs w:val="15"/>
              </w:rPr>
            </w:pPr>
            <w:r>
              <w:rPr>
                <w:rFonts w:hint="eastAsia" w:ascii="宋体" w:hAnsi="宋体" w:cs="宋体"/>
                <w:color w:val="000000"/>
                <w:kern w:val="0"/>
                <w:sz w:val="15"/>
                <w:szCs w:val="15"/>
              </w:rPr>
              <w:t>Y＜500</w:t>
            </w:r>
          </w:p>
        </w:tc>
      </w:tr>
      <w:tr w14:paraId="19A34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exact"/>
          <w:jc w:val="center"/>
        </w:trPr>
        <w:tc>
          <w:tcPr>
            <w:tcW w:w="1121" w:type="pct"/>
            <w:vMerge w:val="restart"/>
            <w:noWrap w:val="0"/>
            <w:vAlign w:val="center"/>
          </w:tcPr>
          <w:p w14:paraId="4344FB17">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租赁和商务服务业</w:t>
            </w:r>
          </w:p>
        </w:tc>
        <w:tc>
          <w:tcPr>
            <w:tcW w:w="725" w:type="pct"/>
            <w:noWrap w:val="0"/>
            <w:vAlign w:val="center"/>
          </w:tcPr>
          <w:p w14:paraId="02F72EA7">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6E5AAC1F">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2854E10E">
            <w:pPr>
              <w:widowControl/>
              <w:jc w:val="center"/>
              <w:rPr>
                <w:rFonts w:ascii="宋体" w:hAnsi="宋体" w:cs="宋体"/>
                <w:color w:val="000000"/>
                <w:kern w:val="0"/>
                <w:sz w:val="15"/>
                <w:szCs w:val="15"/>
              </w:rPr>
            </w:pPr>
            <w:r>
              <w:rPr>
                <w:rFonts w:hint="eastAsia" w:ascii="宋体" w:hAnsi="宋体" w:cs="宋体"/>
                <w:color w:val="000000"/>
                <w:kern w:val="0"/>
                <w:sz w:val="15"/>
                <w:szCs w:val="15"/>
              </w:rPr>
              <w:t>X≥300</w:t>
            </w:r>
          </w:p>
        </w:tc>
        <w:tc>
          <w:tcPr>
            <w:tcW w:w="901" w:type="pct"/>
            <w:noWrap w:val="0"/>
            <w:vAlign w:val="center"/>
          </w:tcPr>
          <w:p w14:paraId="6B8717E9">
            <w:pPr>
              <w:widowControl/>
              <w:ind w:left="-32" w:leftChars="-51" w:hanging="90" w:hangingChars="60"/>
              <w:jc w:val="center"/>
              <w:rPr>
                <w:rFonts w:ascii="宋体" w:hAnsi="宋体" w:cs="宋体"/>
                <w:color w:val="000000"/>
                <w:kern w:val="0"/>
                <w:sz w:val="15"/>
                <w:szCs w:val="15"/>
              </w:rPr>
            </w:pPr>
            <w:r>
              <w:rPr>
                <w:rFonts w:hint="eastAsia" w:ascii="宋体" w:hAnsi="宋体" w:cs="宋体"/>
                <w:color w:val="000000"/>
                <w:kern w:val="0"/>
                <w:sz w:val="15"/>
                <w:szCs w:val="15"/>
              </w:rPr>
              <w:t xml:space="preserve">100≤X＜300 </w:t>
            </w:r>
          </w:p>
        </w:tc>
        <w:tc>
          <w:tcPr>
            <w:tcW w:w="755" w:type="pct"/>
            <w:noWrap w:val="0"/>
            <w:vAlign w:val="center"/>
          </w:tcPr>
          <w:p w14:paraId="2B19F4FF">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10≤X＜100</w:t>
            </w:r>
          </w:p>
        </w:tc>
        <w:tc>
          <w:tcPr>
            <w:tcW w:w="525" w:type="pct"/>
            <w:noWrap w:val="0"/>
            <w:vAlign w:val="center"/>
          </w:tcPr>
          <w:p w14:paraId="567F4FA5">
            <w:pPr>
              <w:widowControl/>
              <w:jc w:val="center"/>
              <w:rPr>
                <w:rFonts w:ascii="宋体" w:hAnsi="宋体" w:cs="宋体"/>
                <w:color w:val="000000"/>
                <w:kern w:val="0"/>
                <w:sz w:val="15"/>
                <w:szCs w:val="15"/>
              </w:rPr>
            </w:pPr>
            <w:r>
              <w:rPr>
                <w:rFonts w:hint="eastAsia" w:ascii="宋体" w:hAnsi="宋体" w:cs="宋体"/>
                <w:color w:val="000000"/>
                <w:kern w:val="0"/>
                <w:sz w:val="15"/>
                <w:szCs w:val="15"/>
              </w:rPr>
              <w:t>X＜10</w:t>
            </w:r>
          </w:p>
        </w:tc>
      </w:tr>
      <w:tr w14:paraId="0E73A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exact"/>
          <w:jc w:val="center"/>
        </w:trPr>
        <w:tc>
          <w:tcPr>
            <w:tcW w:w="1121" w:type="pct"/>
            <w:vMerge w:val="continue"/>
            <w:noWrap w:val="0"/>
            <w:vAlign w:val="center"/>
          </w:tcPr>
          <w:p w14:paraId="501849DB">
            <w:pPr>
              <w:widowControl/>
              <w:jc w:val="left"/>
              <w:rPr>
                <w:rFonts w:ascii="宋体" w:hAnsi="宋体" w:cs="宋体"/>
                <w:color w:val="000000"/>
                <w:kern w:val="0"/>
                <w:sz w:val="15"/>
                <w:szCs w:val="15"/>
              </w:rPr>
            </w:pPr>
          </w:p>
        </w:tc>
        <w:tc>
          <w:tcPr>
            <w:tcW w:w="725" w:type="pct"/>
            <w:noWrap w:val="0"/>
            <w:vAlign w:val="center"/>
          </w:tcPr>
          <w:p w14:paraId="1AA148EC">
            <w:pPr>
              <w:widowControl/>
              <w:spacing w:line="240" w:lineRule="exact"/>
              <w:jc w:val="center"/>
              <w:rPr>
                <w:rFonts w:ascii="宋体" w:hAnsi="宋体" w:cs="宋体"/>
                <w:color w:val="000000"/>
                <w:kern w:val="0"/>
                <w:sz w:val="15"/>
                <w:szCs w:val="15"/>
              </w:rPr>
            </w:pPr>
            <w:r>
              <w:rPr>
                <w:rFonts w:hint="eastAsia" w:ascii="宋体" w:hAnsi="宋体" w:cs="宋体"/>
                <w:color w:val="000000"/>
                <w:kern w:val="0"/>
                <w:sz w:val="15"/>
                <w:szCs w:val="15"/>
              </w:rPr>
              <w:t>资产总额(Z)</w:t>
            </w:r>
          </w:p>
        </w:tc>
        <w:tc>
          <w:tcPr>
            <w:tcW w:w="373" w:type="pct"/>
            <w:noWrap w:val="0"/>
            <w:vAlign w:val="center"/>
          </w:tcPr>
          <w:p w14:paraId="4C42FFDB">
            <w:pPr>
              <w:widowControl/>
              <w:jc w:val="center"/>
              <w:rPr>
                <w:rFonts w:ascii="宋体" w:hAnsi="宋体" w:cs="宋体"/>
                <w:color w:val="000000"/>
                <w:kern w:val="0"/>
                <w:sz w:val="15"/>
                <w:szCs w:val="15"/>
              </w:rPr>
            </w:pPr>
            <w:r>
              <w:rPr>
                <w:rFonts w:hint="eastAsia" w:ascii="宋体" w:hAnsi="宋体" w:cs="宋体"/>
                <w:color w:val="000000"/>
                <w:kern w:val="0"/>
                <w:sz w:val="15"/>
                <w:szCs w:val="15"/>
              </w:rPr>
              <w:t>万元</w:t>
            </w:r>
          </w:p>
        </w:tc>
        <w:tc>
          <w:tcPr>
            <w:tcW w:w="595" w:type="pct"/>
            <w:noWrap w:val="0"/>
            <w:vAlign w:val="center"/>
          </w:tcPr>
          <w:p w14:paraId="56B46EBF">
            <w:pPr>
              <w:widowControl/>
              <w:jc w:val="center"/>
              <w:rPr>
                <w:rFonts w:ascii="宋体" w:hAnsi="宋体" w:cs="宋体"/>
                <w:color w:val="000000"/>
                <w:kern w:val="0"/>
                <w:sz w:val="15"/>
                <w:szCs w:val="15"/>
              </w:rPr>
            </w:pPr>
            <w:r>
              <w:rPr>
                <w:rFonts w:hint="eastAsia" w:ascii="宋体" w:hAnsi="宋体" w:cs="宋体"/>
                <w:color w:val="000000"/>
                <w:kern w:val="0"/>
                <w:sz w:val="15"/>
                <w:szCs w:val="15"/>
              </w:rPr>
              <w:t>Z≥120000</w:t>
            </w:r>
          </w:p>
        </w:tc>
        <w:tc>
          <w:tcPr>
            <w:tcW w:w="901" w:type="pct"/>
            <w:noWrap w:val="0"/>
            <w:vAlign w:val="center"/>
          </w:tcPr>
          <w:p w14:paraId="75229EF8">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8000≤Z＜120000</w:t>
            </w:r>
          </w:p>
        </w:tc>
        <w:tc>
          <w:tcPr>
            <w:tcW w:w="755" w:type="pct"/>
            <w:noWrap w:val="0"/>
            <w:vAlign w:val="center"/>
          </w:tcPr>
          <w:p w14:paraId="662939F5">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100≤Z＜8000</w:t>
            </w:r>
          </w:p>
        </w:tc>
        <w:tc>
          <w:tcPr>
            <w:tcW w:w="525" w:type="pct"/>
            <w:noWrap w:val="0"/>
            <w:vAlign w:val="center"/>
          </w:tcPr>
          <w:p w14:paraId="47D5888C">
            <w:pPr>
              <w:widowControl/>
              <w:jc w:val="center"/>
              <w:rPr>
                <w:rFonts w:ascii="宋体" w:hAnsi="宋体" w:cs="宋体"/>
                <w:color w:val="000000"/>
                <w:kern w:val="0"/>
                <w:sz w:val="15"/>
                <w:szCs w:val="15"/>
              </w:rPr>
            </w:pPr>
            <w:r>
              <w:rPr>
                <w:rFonts w:hint="eastAsia" w:ascii="宋体" w:hAnsi="宋体" w:cs="宋体"/>
                <w:color w:val="000000"/>
                <w:kern w:val="0"/>
                <w:sz w:val="15"/>
                <w:szCs w:val="15"/>
              </w:rPr>
              <w:t>Z＜100</w:t>
            </w:r>
          </w:p>
        </w:tc>
      </w:tr>
      <w:tr w14:paraId="2DFC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1" w:hRule="exact"/>
          <w:jc w:val="center"/>
        </w:trPr>
        <w:tc>
          <w:tcPr>
            <w:tcW w:w="1121" w:type="pct"/>
            <w:noWrap w:val="0"/>
            <w:vAlign w:val="center"/>
          </w:tcPr>
          <w:p w14:paraId="7188BB06">
            <w:pPr>
              <w:widowControl/>
              <w:spacing w:line="240" w:lineRule="exact"/>
              <w:jc w:val="left"/>
              <w:rPr>
                <w:rFonts w:ascii="宋体" w:hAnsi="宋体" w:cs="宋体"/>
                <w:color w:val="000000"/>
                <w:kern w:val="0"/>
                <w:sz w:val="15"/>
                <w:szCs w:val="15"/>
              </w:rPr>
            </w:pPr>
            <w:r>
              <w:rPr>
                <w:rFonts w:hint="eastAsia" w:ascii="宋体" w:hAnsi="宋体" w:cs="宋体"/>
                <w:color w:val="000000"/>
                <w:kern w:val="0"/>
                <w:sz w:val="15"/>
                <w:szCs w:val="15"/>
              </w:rPr>
              <w:t>其他未列明行业 *</w:t>
            </w:r>
          </w:p>
        </w:tc>
        <w:tc>
          <w:tcPr>
            <w:tcW w:w="725" w:type="pct"/>
            <w:noWrap w:val="0"/>
            <w:vAlign w:val="center"/>
          </w:tcPr>
          <w:p w14:paraId="1723CDF0">
            <w:pPr>
              <w:widowControl/>
              <w:jc w:val="center"/>
              <w:rPr>
                <w:rFonts w:ascii="宋体" w:hAnsi="宋体" w:cs="宋体"/>
                <w:color w:val="000000"/>
                <w:kern w:val="0"/>
                <w:sz w:val="15"/>
                <w:szCs w:val="15"/>
              </w:rPr>
            </w:pPr>
            <w:r>
              <w:rPr>
                <w:rFonts w:hint="eastAsia" w:ascii="宋体" w:hAnsi="宋体" w:cs="宋体"/>
                <w:color w:val="000000"/>
                <w:kern w:val="0"/>
                <w:sz w:val="15"/>
                <w:szCs w:val="15"/>
              </w:rPr>
              <w:t>从业人员(X)</w:t>
            </w:r>
          </w:p>
        </w:tc>
        <w:tc>
          <w:tcPr>
            <w:tcW w:w="373" w:type="pct"/>
            <w:noWrap w:val="0"/>
            <w:vAlign w:val="center"/>
          </w:tcPr>
          <w:p w14:paraId="71D30610">
            <w:pPr>
              <w:widowControl/>
              <w:jc w:val="center"/>
              <w:rPr>
                <w:rFonts w:ascii="宋体" w:hAnsi="宋体" w:cs="宋体"/>
                <w:color w:val="000000"/>
                <w:kern w:val="0"/>
                <w:sz w:val="15"/>
                <w:szCs w:val="15"/>
              </w:rPr>
            </w:pPr>
            <w:r>
              <w:rPr>
                <w:rFonts w:hint="eastAsia" w:ascii="宋体" w:hAnsi="宋体" w:cs="宋体"/>
                <w:color w:val="000000"/>
                <w:kern w:val="0"/>
                <w:sz w:val="15"/>
                <w:szCs w:val="15"/>
              </w:rPr>
              <w:t>人</w:t>
            </w:r>
          </w:p>
        </w:tc>
        <w:tc>
          <w:tcPr>
            <w:tcW w:w="595" w:type="pct"/>
            <w:noWrap w:val="0"/>
            <w:vAlign w:val="center"/>
          </w:tcPr>
          <w:p w14:paraId="1F4F638F">
            <w:pPr>
              <w:widowControl/>
              <w:jc w:val="center"/>
              <w:rPr>
                <w:rFonts w:ascii="宋体" w:hAnsi="宋体" w:cs="宋体"/>
                <w:color w:val="000000"/>
                <w:kern w:val="0"/>
                <w:sz w:val="15"/>
                <w:szCs w:val="15"/>
              </w:rPr>
            </w:pPr>
            <w:r>
              <w:rPr>
                <w:rFonts w:hint="eastAsia" w:ascii="宋体" w:hAnsi="宋体" w:cs="宋体"/>
                <w:color w:val="000000"/>
                <w:kern w:val="0"/>
                <w:sz w:val="15"/>
                <w:szCs w:val="15"/>
              </w:rPr>
              <w:t>X≥300</w:t>
            </w:r>
          </w:p>
        </w:tc>
        <w:tc>
          <w:tcPr>
            <w:tcW w:w="901" w:type="pct"/>
            <w:noWrap w:val="0"/>
            <w:vAlign w:val="center"/>
          </w:tcPr>
          <w:p w14:paraId="543B1A5D">
            <w:pPr>
              <w:widowControl/>
              <w:ind w:left="-32" w:leftChars="-51" w:hanging="90" w:hangingChars="60"/>
              <w:jc w:val="center"/>
              <w:rPr>
                <w:rFonts w:ascii="宋体" w:hAnsi="宋体" w:cs="宋体"/>
                <w:color w:val="000000"/>
                <w:kern w:val="0"/>
                <w:sz w:val="15"/>
                <w:szCs w:val="15"/>
              </w:rPr>
            </w:pPr>
            <w:r>
              <w:rPr>
                <w:rFonts w:hint="eastAsia" w:ascii="宋体" w:hAnsi="宋体" w:cs="宋体"/>
                <w:color w:val="000000"/>
                <w:kern w:val="0"/>
                <w:sz w:val="15"/>
                <w:szCs w:val="15"/>
              </w:rPr>
              <w:t xml:space="preserve">100≤X＜300 </w:t>
            </w:r>
          </w:p>
        </w:tc>
        <w:tc>
          <w:tcPr>
            <w:tcW w:w="755" w:type="pct"/>
            <w:noWrap w:val="0"/>
            <w:vAlign w:val="center"/>
          </w:tcPr>
          <w:p w14:paraId="62BAE5E4">
            <w:pPr>
              <w:widowControl/>
              <w:jc w:val="center"/>
              <w:rPr>
                <w:rFonts w:ascii="宋体" w:hAnsi="宋体" w:cs="宋体"/>
                <w:color w:val="000000"/>
                <w:kern w:val="0"/>
                <w:sz w:val="15"/>
                <w:szCs w:val="15"/>
              </w:rPr>
            </w:pPr>
            <w:r>
              <w:rPr>
                <w:rFonts w:hint="eastAsia" w:ascii="宋体" w:hAnsi="宋体" w:cs="宋体"/>
                <w:color w:val="000000"/>
                <w:kern w:val="0"/>
                <w:sz w:val="15"/>
                <w:szCs w:val="15"/>
              </w:rPr>
              <w:t xml:space="preserve"> 10≤X＜100</w:t>
            </w:r>
          </w:p>
        </w:tc>
        <w:tc>
          <w:tcPr>
            <w:tcW w:w="525" w:type="pct"/>
            <w:noWrap w:val="0"/>
            <w:vAlign w:val="center"/>
          </w:tcPr>
          <w:p w14:paraId="13394A79">
            <w:pPr>
              <w:widowControl/>
              <w:jc w:val="center"/>
              <w:rPr>
                <w:rFonts w:ascii="宋体" w:hAnsi="宋体" w:cs="宋体"/>
                <w:color w:val="000000"/>
                <w:kern w:val="0"/>
                <w:sz w:val="15"/>
                <w:szCs w:val="15"/>
              </w:rPr>
            </w:pPr>
            <w:r>
              <w:rPr>
                <w:rFonts w:hint="eastAsia" w:ascii="宋体" w:hAnsi="宋体" w:cs="宋体"/>
                <w:color w:val="000000"/>
                <w:kern w:val="0"/>
                <w:sz w:val="15"/>
                <w:szCs w:val="15"/>
              </w:rPr>
              <w:t>X＜10</w:t>
            </w:r>
          </w:p>
        </w:tc>
      </w:tr>
    </w:tbl>
    <w:p w14:paraId="5A964B51">
      <w:pPr>
        <w:keepNext w:val="0"/>
        <w:keepLines w:val="0"/>
        <w:pageBreakBefore w:val="0"/>
        <w:widowControl/>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000000"/>
          <w:spacing w:val="8"/>
          <w:kern w:val="0"/>
          <w:sz w:val="24"/>
          <w:szCs w:val="24"/>
        </w:rPr>
      </w:pPr>
      <w:r>
        <w:rPr>
          <w:rFonts w:hint="eastAsia" w:ascii="宋体" w:hAnsi="宋体" w:eastAsia="宋体" w:cs="宋体"/>
          <w:color w:val="000000"/>
          <w:spacing w:val="8"/>
          <w:kern w:val="0"/>
          <w:sz w:val="24"/>
          <w:szCs w:val="24"/>
        </w:rPr>
        <w:t>说明：</w:t>
      </w:r>
    </w:p>
    <w:p w14:paraId="2AEBA7A3">
      <w:pPr>
        <w:keepNext w:val="0"/>
        <w:keepLines w:val="0"/>
        <w:pageBreakBefore w:val="0"/>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000000"/>
          <w:spacing w:val="8"/>
          <w:kern w:val="0"/>
          <w:sz w:val="24"/>
          <w:szCs w:val="24"/>
        </w:rPr>
      </w:pPr>
      <w:r>
        <w:rPr>
          <w:rFonts w:hint="eastAsia" w:ascii="宋体" w:hAnsi="宋体" w:eastAsia="宋体" w:cs="宋体"/>
          <w:color w:val="000000"/>
          <w:spacing w:val="8"/>
          <w:kern w:val="0"/>
          <w:sz w:val="24"/>
          <w:szCs w:val="24"/>
        </w:rPr>
        <w:t>1.大型、中型和小型企业须同时满足所列指标的下限，否则下划一档；微型企业只须满足所列指标中的一项即可。</w:t>
      </w:r>
    </w:p>
    <w:p w14:paraId="0074D8FC">
      <w:pPr>
        <w:keepNext w:val="0"/>
        <w:keepLines w:val="0"/>
        <w:pageBreakBefore w:val="0"/>
        <w:kinsoku/>
        <w:wordWrap/>
        <w:overflowPunct/>
        <w:topLinePunct w:val="0"/>
        <w:autoSpaceDE/>
        <w:autoSpaceDN/>
        <w:bidi w:val="0"/>
        <w:adjustRightInd/>
        <w:snapToGrid/>
        <w:spacing w:line="440" w:lineRule="exact"/>
        <w:ind w:left="0" w:firstLine="512" w:firstLineChars="200"/>
        <w:textAlignment w:val="auto"/>
        <w:rPr>
          <w:rFonts w:hint="eastAsia" w:ascii="宋体" w:hAnsi="宋体" w:eastAsia="宋体" w:cs="宋体"/>
          <w:color w:val="000000"/>
          <w:spacing w:val="8"/>
          <w:kern w:val="0"/>
          <w:sz w:val="24"/>
          <w:szCs w:val="24"/>
        </w:rPr>
      </w:pPr>
      <w:r>
        <w:rPr>
          <w:rFonts w:hint="eastAsia" w:ascii="宋体" w:hAnsi="宋体" w:eastAsia="宋体" w:cs="宋体"/>
          <w:color w:val="000000"/>
          <w:spacing w:val="8"/>
          <w:kern w:val="0"/>
          <w:sz w:val="24"/>
          <w:szCs w:val="24"/>
        </w:rPr>
        <w:t>2.附表中各行业的范围以《国民经济行业分类》</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GB/T4754-2017</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为准。带*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499DDDCE">
      <w:pPr>
        <w:keepNext w:val="0"/>
        <w:keepLines w:val="0"/>
        <w:pageBreakBefore w:val="0"/>
        <w:kinsoku/>
        <w:wordWrap/>
        <w:overflowPunct/>
        <w:topLinePunct w:val="0"/>
        <w:autoSpaceDE/>
        <w:autoSpaceDN/>
        <w:bidi w:val="0"/>
        <w:ind w:left="0" w:firstLine="512" w:firstLineChars="200"/>
        <w:textAlignment w:val="auto"/>
        <w:rPr>
          <w:rFonts w:hint="eastAsia" w:ascii="宋体" w:hAnsi="宋体" w:eastAsia="宋体" w:cs="宋体"/>
          <w:b/>
          <w:bCs/>
          <w:sz w:val="24"/>
          <w:szCs w:val="24"/>
          <w:lang w:val="en-US" w:eastAsia="zh-CN"/>
        </w:rPr>
      </w:pPr>
      <w:r>
        <w:rPr>
          <w:rFonts w:hint="eastAsia" w:ascii="宋体" w:hAnsi="宋体" w:eastAsia="宋体" w:cs="宋体"/>
          <w:color w:val="000000"/>
          <w:spacing w:val="8"/>
          <w:kern w:val="0"/>
          <w:sz w:val="24"/>
          <w:szCs w:val="24"/>
        </w:rPr>
        <w:t>3.企业划分指标以现行统计制度为准。</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1</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从业人员，是指期末从业人员数，没有期末从业人员数的，采用全年平均人员数代替。</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2</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3</w:t>
      </w:r>
      <w:r>
        <w:rPr>
          <w:rFonts w:hint="eastAsia" w:cs="宋体"/>
          <w:color w:val="000000"/>
          <w:spacing w:val="8"/>
          <w:kern w:val="0"/>
          <w:sz w:val="24"/>
          <w:szCs w:val="24"/>
          <w:lang w:eastAsia="zh-CN"/>
        </w:rPr>
        <w:t>)</w:t>
      </w:r>
      <w:r>
        <w:rPr>
          <w:rFonts w:hint="eastAsia" w:ascii="宋体" w:hAnsi="宋体" w:eastAsia="宋体" w:cs="宋体"/>
          <w:color w:val="000000"/>
          <w:spacing w:val="8"/>
          <w:kern w:val="0"/>
          <w:sz w:val="24"/>
          <w:szCs w:val="24"/>
        </w:rPr>
        <w:t>资产总额，采用资产总计代替。</w:t>
      </w:r>
    </w:p>
    <w:p w14:paraId="45BE1D88">
      <w:pPr>
        <w:rPr>
          <w:rFonts w:hint="eastAsia"/>
          <w:lang w:val="en-US" w:eastAsia="zh-CN"/>
        </w:rPr>
      </w:pPr>
    </w:p>
    <w:sectPr>
      <w:pgSz w:w="11906" w:h="16838"/>
      <w:pgMar w:top="1440" w:right="1800" w:bottom="1440" w:left="1800" w:header="851" w:footer="992" w:gutter="0"/>
      <w:pgNumType w:fmt="decimal"/>
      <w:cols w:space="0" w:num="1"/>
      <w:titlePg/>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C5346929-08F0-42E0-B900-B601F6F1E339}"/>
  </w:font>
  <w:font w:name="黑体">
    <w:panose1 w:val="02010609060101010101"/>
    <w:charset w:val="86"/>
    <w:family w:val="auto"/>
    <w:pitch w:val="default"/>
    <w:sig w:usb0="800002BF" w:usb1="38CF7CFA" w:usb2="00000016" w:usb3="00000000" w:csb0="00040001" w:csb1="00000000"/>
    <w:embedRegular r:id="rId2" w:fontKey="{753037B6-09D7-4630-BB86-EC1896AAB9C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32EE0BF7-B6D5-4BEC-8C03-CDC86FE1401F}"/>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embedRegular r:id="rId4" w:fontKey="{332E7000-0CD9-41A2-96AD-F56B5732D163}"/>
  </w:font>
  <w:font w:name="方正小标宋简体">
    <w:panose1 w:val="02000000000000000000"/>
    <w:charset w:val="86"/>
    <w:family w:val="script"/>
    <w:pitch w:val="default"/>
    <w:sig w:usb0="00000001" w:usb1="08000000" w:usb2="00000000" w:usb3="00000000" w:csb0="00040000" w:csb1="00000000"/>
    <w:embedRegular r:id="rId5" w:fontKey="{CF107FE8-CF96-423B-8802-AC0A2473EA36}"/>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1AB3F5">
    <w:pPr>
      <w:pStyle w:val="15"/>
      <w:tabs>
        <w:tab w:val="center" w:pos="4153"/>
        <w:tab w:val="right" w:pos="8306"/>
        <w:tab w:val="clear" w:pos="0"/>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69C5D">
    <w:pPr>
      <w:pStyle w:val="15"/>
      <w:tabs>
        <w:tab w:val="center" w:pos="4153"/>
        <w:tab w:val="right" w:pos="8306"/>
        <w:tab w:val="clear" w:pos="0"/>
      </w:tabs>
      <w:ind w:right="360"/>
      <w:rPr>
        <w:rFonts w:hint="eastAsia"/>
        <w:sz w:val="15"/>
        <w:szCs w:val="15"/>
      </w:rPr>
    </w:pPr>
    <w:r>
      <w:rPr>
        <w:rFonts w:ascii="宋体" w:hAnsi="Calibri" w:eastAsia="宋体" w:cs="黑体"/>
        <w:sz w:val="15"/>
        <w:szCs w:val="20"/>
        <w:lang w:val="en-US" w:eastAsia="zh-CN" w:bidi="ar-SA"/>
      </w:rPr>
      <mc:AlternateContent>
        <mc:Choice Requires="wps">
          <w:drawing>
            <wp:anchor distT="0" distB="0" distL="114300" distR="114300" simplePos="0" relativeHeight="251660288" behindDoc="0" locked="0" layoutInCell="1" allowOverlap="1">
              <wp:simplePos x="0" y="0"/>
              <wp:positionH relativeFrom="margin">
                <wp:posOffset>3034665</wp:posOffset>
              </wp:positionH>
              <wp:positionV relativeFrom="paragraph">
                <wp:posOffset>0</wp:posOffset>
              </wp:positionV>
              <wp:extent cx="114935" cy="147955"/>
              <wp:effectExtent l="0" t="0" r="0" b="0"/>
              <wp:wrapNone/>
              <wp:docPr id="4" name="矩形 4"/>
              <wp:cNvGraphicFramePr/>
              <a:graphic xmlns:a="http://schemas.openxmlformats.org/drawingml/2006/main">
                <a:graphicData uri="http://schemas.microsoft.com/office/word/2010/wordprocessingShape">
                  <wps:wsp>
                    <wps:cNvSpPr/>
                    <wps:spPr>
                      <a:xfrm>
                        <a:off x="0" y="0"/>
                        <a:ext cx="114935" cy="147955"/>
                      </a:xfrm>
                      <a:prstGeom prst="rect">
                        <a:avLst/>
                      </a:prstGeom>
                      <a:noFill/>
                      <a:ln>
                        <a:noFill/>
                      </a:ln>
                    </wps:spPr>
                    <wps:txbx>
                      <w:txbxContent>
                        <w:p w14:paraId="54F52391">
                          <w:pPr>
                            <w:snapToGrid w:val="0"/>
                            <w:rPr>
                              <w:rFonts w:hint="eastAsia"/>
                              <w:sz w:val="18"/>
                            </w:rPr>
                          </w:pPr>
                        </w:p>
                      </w:txbxContent>
                    </wps:txbx>
                    <wps:bodyPr wrap="none" lIns="0" tIns="0" rIns="0" bIns="0" upright="1">
                      <a:spAutoFit/>
                    </wps:bodyPr>
                  </wps:wsp>
                </a:graphicData>
              </a:graphic>
            </wp:anchor>
          </w:drawing>
        </mc:Choice>
        <mc:Fallback>
          <w:pict>
            <v:rect id="_x0000_s1026" o:spid="_x0000_s1026" o:spt="1" style="position:absolute;left:0pt;margin-left:238.95pt;margin-top:0pt;height:11.65pt;width:9.05pt;mso-position-horizontal-relative:margin;mso-wrap-style:none;z-index:251660288;mso-width-relative:page;mso-height-relative:page;" filled="f" stroked="f" coordsize="21600,21600" o:gfxdata="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PM/edfWAAAABwEAAA8AAAAAAAAAAQAgAAAAIgAAAGRycy9kb3ducmV2&#10;LnhtbFBLAQIUABQAAAAIAIdO4kBuI/RkxQEAAIoDAAAOAAAAAAAAAAEAIAAAACUBAABkcnMvZTJv&#10;RG9jLnhtbFBLBQYAAAAABgAGAFkBAABcBQAAAAA=&#10;">
              <v:fill on="f" focussize="0,0"/>
              <v:stroke on="f"/>
              <v:imagedata o:title=""/>
              <o:lock v:ext="edit" aspectratio="f"/>
              <v:textbox inset="0mm,0mm,0mm,0mm" style="mso-fit-shape-to-text:t;">
                <w:txbxContent>
                  <w:p w14:paraId="54F52391">
                    <w:pPr>
                      <w:snapToGrid w:val="0"/>
                      <w:rPr>
                        <w:rFonts w:hint="eastAsia"/>
                        <w:sz w:val="18"/>
                      </w:rPr>
                    </w:pPr>
                  </w:p>
                </w:txbxContent>
              </v:textbox>
            </v:rect>
          </w:pict>
        </mc:Fallback>
      </mc:AlternateContent>
    </w:r>
    <w:r>
      <w:rPr>
        <w:rFonts w:hint="eastAsia"/>
        <w:sz w:val="15"/>
        <w:szCs w:val="15"/>
      </w:rPr>
      <w:t>地址：</w:t>
    </w:r>
    <w:r>
      <w:rPr>
        <w:rFonts w:hint="eastAsia"/>
        <w:sz w:val="15"/>
        <w:szCs w:val="15"/>
        <w:lang w:eastAsia="zh-CN"/>
      </w:rPr>
      <w:t>成都市高新区吉庆三路333号蜀都中心二期一号楼一单元401号</w:t>
    </w:r>
    <w:r>
      <w:rPr>
        <w:rFonts w:hint="eastAsia"/>
        <w:sz w:val="15"/>
        <w:szCs w:val="15"/>
      </w:rPr>
      <w:t xml:space="preserve">                      邮政编码：610041</w:t>
    </w:r>
  </w:p>
  <w:p w14:paraId="74E71BF6">
    <w:pPr>
      <w:pStyle w:val="15"/>
      <w:tabs>
        <w:tab w:val="center" w:pos="4153"/>
        <w:tab w:val="right" w:pos="8306"/>
        <w:tab w:val="clear" w:pos="0"/>
      </w:tabs>
      <w:ind w:right="360"/>
      <w:rPr>
        <w:rFonts w:hint="eastAsia"/>
        <w:lang w:val="en-US" w:eastAsia="zh-CN"/>
      </w:rPr>
    </w:pPr>
    <w:r>
      <w:rPr>
        <w:rFonts w:hint="eastAsia"/>
        <w:sz w:val="15"/>
        <w:szCs w:val="15"/>
      </w:rPr>
      <w:t>电话(TEL)</w:t>
    </w:r>
    <w:r>
      <w:rPr>
        <w:rFonts w:hint="eastAsia"/>
        <w:sz w:val="15"/>
        <w:szCs w:val="15"/>
        <w:lang w:eastAsia="zh-CN"/>
      </w:rPr>
      <w:t>：</w:t>
    </w:r>
    <w:r>
      <w:rPr>
        <w:rFonts w:hint="eastAsia"/>
        <w:sz w:val="15"/>
        <w:szCs w:val="15"/>
      </w:rPr>
      <w:t>86-028-6137557</w:t>
    </w:r>
    <w:r>
      <w:rPr>
        <w:rFonts w:hint="eastAsia"/>
        <w:sz w:val="15"/>
        <w:szCs w:val="15"/>
        <w:lang w:eastAsia="zh-CN"/>
      </w:rPr>
      <w:t>5、</w:t>
    </w:r>
    <w:r>
      <w:rPr>
        <w:rFonts w:hint="eastAsia"/>
        <w:sz w:val="15"/>
        <w:szCs w:val="15"/>
      </w:rPr>
      <w:t>62600820、62630990                                        传真(FAX)</w:t>
    </w:r>
    <w:r>
      <w:rPr>
        <w:rFonts w:hint="eastAsia"/>
        <w:sz w:val="15"/>
        <w:szCs w:val="15"/>
        <w:lang w:eastAsia="zh-CN"/>
      </w:rPr>
      <w:t>：</w:t>
    </w:r>
    <w:r>
      <w:rPr>
        <w:rFonts w:hint="eastAsia"/>
        <w:sz w:val="15"/>
        <w:szCs w:val="15"/>
        <w:lang w:val="en-US" w:eastAsia="zh-CN"/>
      </w:rPr>
      <w:t>028-</w:t>
    </w:r>
    <w:r>
      <w:rPr>
        <w:rFonts w:hint="eastAsia"/>
        <w:sz w:val="15"/>
        <w:szCs w:val="15"/>
      </w:rPr>
      <w:t>83381</w:t>
    </w:r>
    <w:r>
      <w:rPr>
        <w:rFonts w:hint="eastAsia"/>
        <w:sz w:val="15"/>
        <w:szCs w:val="15"/>
        <w:lang w:val="en-US" w:eastAsia="zh-CN"/>
      </w:rPr>
      <w:t>268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5F35F7">
    <w:pPr>
      <w:pStyle w:val="15"/>
      <w:tabs>
        <w:tab w:val="center" w:pos="4153"/>
        <w:tab w:val="right" w:pos="8306"/>
        <w:tab w:val="clear" w:pos="0"/>
      </w:tabs>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7801A3F">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7801A3F">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AD41C6">
    <w:pPr>
      <w:pStyle w:val="15"/>
      <w:tabs>
        <w:tab w:val="center" w:pos="4153"/>
        <w:tab w:val="right" w:pos="8306"/>
        <w:tab w:val="clear" w:pos="0"/>
      </w:tabs>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4A39A9">
                          <w:pPr>
                            <w:pStyle w:val="1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0B4A39A9">
                    <w:pPr>
                      <w:pStyle w:val="1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B0FD2E">
    <w:pPr>
      <w:pStyle w:val="15"/>
      <w:tabs>
        <w:tab w:val="center" w:pos="4153"/>
        <w:tab w:val="right" w:pos="8306"/>
        <w:tab w:val="clear" w:pos="0"/>
      </w:tabs>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81E0E2">
                          <w:pPr>
                            <w:pStyle w:val="15"/>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5E81E0E2">
                    <w:pPr>
                      <w:pStyle w:val="15"/>
                    </w:pPr>
                    <w:r>
                      <w:fldChar w:fldCharType="begin"/>
                    </w:r>
                    <w:r>
                      <w:instrText xml:space="preserve"> PAGE  \* MERGEFORMAT </w:instrText>
                    </w:r>
                    <w:r>
                      <w:fldChar w:fldCharType="separate"/>
                    </w:r>
                    <w:r>
                      <w:t>46</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31D854">
    <w:pPr>
      <w:pStyle w:val="15"/>
      <w:tabs>
        <w:tab w:val="center" w:pos="4153"/>
        <w:tab w:val="right" w:pos="8306"/>
        <w:tab w:val="clear" w:pos="0"/>
      </w:tabs>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D6C735">
                          <w:pPr>
                            <w:pStyle w:val="15"/>
                          </w:pPr>
                          <w:r>
                            <w:fldChar w:fldCharType="begin"/>
                          </w:r>
                          <w:r>
                            <w:instrText xml:space="preserve"> PAGE  \* MERGEFORMAT </w:instrText>
                          </w:r>
                          <w:r>
                            <w:fldChar w:fldCharType="separate"/>
                          </w:r>
                          <w:r>
                            <w:t>45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1D6C735">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39DEC">
    <w:pPr>
      <w:pStyle w:val="16"/>
      <w:pBdr>
        <w:bottom w:val="none" w:color="auto" w:sz="0" w:space="0"/>
      </w:pBdr>
      <w:tabs>
        <w:tab w:val="center" w:pos="4153"/>
        <w:tab w:val="right" w:pos="8306"/>
        <w:tab w:val="clear" w:pos="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4ABB2">
    <w:pPr>
      <w:pStyle w:val="16"/>
      <w:tabs>
        <w:tab w:val="center" w:pos="4153"/>
        <w:tab w:val="right" w:pos="8306"/>
        <w:tab w:val="clear" w:pos="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D68F48">
    <w:pPr>
      <w:pStyle w:val="16"/>
      <w:pBdr>
        <w:bottom w:val="none" w:color="auto" w:sz="0" w:space="1"/>
      </w:pBdr>
      <w:tabs>
        <w:tab w:val="center" w:pos="4153"/>
        <w:tab w:val="right" w:pos="8306"/>
        <w:tab w:val="clear" w:pos="0"/>
      </w:tabs>
      <w:jc w:val="left"/>
      <w:rPr>
        <w:rFonts w:hint="eastAsia"/>
        <w:b/>
        <w:bCs/>
        <w:szCs w:val="18"/>
      </w:rPr>
    </w:pPr>
    <w:r>
      <w:rPr>
        <w:rFonts w:hint="eastAsia"/>
        <w:sz w:val="21"/>
        <w:szCs w:val="21"/>
      </w:rPr>
      <w:drawing>
        <wp:anchor distT="0" distB="0" distL="114300" distR="114300" simplePos="0" relativeHeight="251661312" behindDoc="1" locked="0" layoutInCell="1" allowOverlap="1">
          <wp:simplePos x="0" y="0"/>
          <wp:positionH relativeFrom="column">
            <wp:posOffset>29845</wp:posOffset>
          </wp:positionH>
          <wp:positionV relativeFrom="paragraph">
            <wp:posOffset>-64770</wp:posOffset>
          </wp:positionV>
          <wp:extent cx="434340" cy="337820"/>
          <wp:effectExtent l="0" t="0" r="3810" b="5080"/>
          <wp:wrapTight wrapText="bothSides">
            <wp:wrapPolygon>
              <wp:start x="5684" y="0"/>
              <wp:lineTo x="0" y="13398"/>
              <wp:lineTo x="0" y="20707"/>
              <wp:lineTo x="20842" y="20707"/>
              <wp:lineTo x="20842" y="13398"/>
              <wp:lineTo x="15158" y="0"/>
              <wp:lineTo x="5684" y="0"/>
            </wp:wrapPolygon>
          </wp:wrapTight>
          <wp:docPr id="28" name="图片 28" descr="d027df98ea8691384970e4c32303f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d027df98ea8691384970e4c32303fb4"/>
                  <pic:cNvPicPr>
                    <a:picLocks noChangeAspect="1"/>
                  </pic:cNvPicPr>
                </pic:nvPicPr>
                <pic:blipFill>
                  <a:blip r:embed="rId1"/>
                  <a:stretch>
                    <a:fillRect/>
                  </a:stretch>
                </pic:blipFill>
                <pic:spPr>
                  <a:xfrm>
                    <a:off x="0" y="0"/>
                    <a:ext cx="434340" cy="337820"/>
                  </a:xfrm>
                  <a:prstGeom prst="rect">
                    <a:avLst/>
                  </a:prstGeom>
                </pic:spPr>
              </pic:pic>
            </a:graphicData>
          </a:graphic>
        </wp:anchor>
      </w:drawing>
    </w:r>
    <w:r>
      <w:rPr>
        <w:rFonts w:hint="eastAsia"/>
        <w:sz w:val="21"/>
        <w:szCs w:val="21"/>
      </w:rPr>
      <w:t xml:space="preserve">       </w:t>
    </w:r>
    <w:r>
      <w:rPr>
        <w:rFonts w:hint="eastAsia"/>
        <w:sz w:val="21"/>
        <w:szCs w:val="21"/>
        <w:lang w:val="en-US" w:eastAsia="zh-CN"/>
      </w:rPr>
      <w:t xml:space="preserve"> </w:t>
    </w:r>
    <w:r>
      <w:rPr>
        <w:rFonts w:hint="eastAsia"/>
        <w:b/>
        <w:bCs/>
        <w:szCs w:val="18"/>
      </w:rPr>
      <w:t>四川乾新招投标代理有限公司</w:t>
    </w:r>
  </w:p>
  <w:p w14:paraId="19CC23CF">
    <w:pPr>
      <w:pStyle w:val="16"/>
      <w:pBdr>
        <w:bottom w:val="single" w:color="auto" w:sz="4" w:space="1"/>
      </w:pBdr>
      <w:tabs>
        <w:tab w:val="center" w:pos="4153"/>
        <w:tab w:val="right" w:pos="8306"/>
        <w:tab w:val="clear" w:pos="0"/>
      </w:tabs>
      <w:jc w:val="left"/>
      <w:rPr>
        <w:rFonts w:hint="eastAsia"/>
        <w:szCs w:val="18"/>
      </w:rPr>
    </w:pPr>
    <w:r>
      <w:rPr>
        <w:rFonts w:hint="eastAsia"/>
        <w:b/>
        <w:bCs/>
        <w:szCs w:val="18"/>
      </w:rPr>
      <w:t xml:space="preserve">        </w:t>
    </w:r>
    <w:r>
      <w:rPr>
        <w:rFonts w:hint="eastAsia"/>
        <w:b/>
        <w:bCs/>
        <w:szCs w:val="18"/>
        <w:lang w:val="en-US" w:eastAsia="zh-CN"/>
      </w:rPr>
      <w:t xml:space="preserve"> </w:t>
    </w:r>
    <w:r>
      <w:rPr>
        <w:rFonts w:hint="eastAsia"/>
        <w:b/>
        <w:bCs/>
        <w:szCs w:val="18"/>
      </w:rPr>
      <w:t xml:space="preserve">Sichuan Qianxin Tendering And Bidding Agency Co.,Ltd.       </w:t>
    </w:r>
    <w:r>
      <w:rPr>
        <w:rFonts w:hint="eastAsia"/>
        <w:b/>
        <w:bCs/>
        <w:szCs w:val="18"/>
        <w:lang w:val="en-US" w:eastAsia="zh-CN"/>
      </w:rPr>
      <w:t xml:space="preserve">     不止专注 更懂托付</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A30D18">
    <w:pPr>
      <w:pStyle w:val="16"/>
      <w:pBdr>
        <w:bottom w:val="none" w:color="auto" w:sz="0" w:space="1"/>
      </w:pBdr>
      <w:tabs>
        <w:tab w:val="center" w:pos="4153"/>
        <w:tab w:val="right" w:pos="8306"/>
        <w:tab w:val="clear" w:pos="0"/>
      </w:tabs>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9FF1">
    <w:pPr>
      <w:pStyle w:val="16"/>
      <w:pBdr>
        <w:bottom w:val="none" w:color="auto" w:sz="0" w:space="1"/>
      </w:pBdr>
      <w:tabs>
        <w:tab w:val="center" w:pos="4153"/>
        <w:tab w:val="right" w:pos="8306"/>
        <w:tab w:val="clear" w:pos="0"/>
      </w:tabs>
      <w:jc w:val="left"/>
      <w:rPr>
        <w:rFonts w:asciiTheme="minorEastAsia" w:hAnsiTheme="minorEastAsia" w:cstheme="minorEastAsia"/>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08922B">
    <w:pPr>
      <w:pStyle w:val="16"/>
      <w:pBdr>
        <w:bottom w:val="none" w:color="auto" w:sz="0" w:space="1"/>
      </w:pBdr>
      <w:tabs>
        <w:tab w:val="center" w:pos="4153"/>
        <w:tab w:val="right" w:pos="8306"/>
        <w:tab w:val="clear" w:pos="0"/>
      </w:tabs>
      <w:jc w:val="both"/>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B7C95">
    <w:pPr>
      <w:pStyle w:val="16"/>
      <w:pBdr>
        <w:bottom w:val="none" w:color="auto" w:sz="0" w:space="1"/>
      </w:pBdr>
      <w:tabs>
        <w:tab w:val="center" w:pos="4153"/>
        <w:tab w:val="right" w:pos="8306"/>
        <w:tab w:val="clear" w:pos="0"/>
      </w:tabs>
      <w:jc w:val="left"/>
      <w:rPr>
        <w:rFonts w:asciiTheme="minorEastAsia" w:hAnsiTheme="minorEastAsia" w:cstheme="min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5A60DA6"/>
    <w:multiLevelType w:val="singleLevel"/>
    <w:tmpl w:val="85A60DA6"/>
    <w:lvl w:ilvl="0" w:tentative="0">
      <w:start w:val="1"/>
      <w:numFmt w:val="chineseCounting"/>
      <w:suff w:val="nothing"/>
      <w:lvlText w:val="%1、"/>
      <w:lvlJc w:val="left"/>
      <w:pPr>
        <w:ind w:left="0" w:firstLine="420"/>
      </w:pPr>
      <w:rPr>
        <w:rFonts w:hint="eastAsia"/>
      </w:rPr>
    </w:lvl>
  </w:abstractNum>
  <w:abstractNum w:abstractNumId="1">
    <w:nsid w:val="984AAC84"/>
    <w:multiLevelType w:val="singleLevel"/>
    <w:tmpl w:val="984AAC84"/>
    <w:lvl w:ilvl="0" w:tentative="0">
      <w:start w:val="1"/>
      <w:numFmt w:val="decimal"/>
      <w:lvlText w:val="(%1)"/>
      <w:lvlJc w:val="left"/>
      <w:pPr>
        <w:ind w:left="425" w:hanging="425"/>
      </w:pPr>
      <w:rPr>
        <w:rFonts w:hint="default"/>
      </w:rPr>
    </w:lvl>
  </w:abstractNum>
  <w:abstractNum w:abstractNumId="2">
    <w:nsid w:val="A80635A9"/>
    <w:multiLevelType w:val="singleLevel"/>
    <w:tmpl w:val="A80635A9"/>
    <w:lvl w:ilvl="0" w:tentative="0">
      <w:start w:val="1"/>
      <w:numFmt w:val="chineseCounting"/>
      <w:pStyle w:val="72"/>
      <w:suff w:val="nothing"/>
      <w:lvlText w:val="第%1条  "/>
      <w:lvlJc w:val="left"/>
      <w:pPr>
        <w:ind w:left="0" w:firstLine="0"/>
      </w:pPr>
      <w:rPr>
        <w:rFonts w:hint="eastAsia"/>
      </w:rPr>
    </w:lvl>
  </w:abstractNum>
  <w:abstractNum w:abstractNumId="3">
    <w:nsid w:val="B04D8E0A"/>
    <w:multiLevelType w:val="multilevel"/>
    <w:tmpl w:val="B04D8E0A"/>
    <w:lvl w:ilvl="0" w:tentative="0">
      <w:start w:val="1"/>
      <w:numFmt w:val="chineseCounting"/>
      <w:pStyle w:val="54"/>
      <w:suff w:val="nothing"/>
      <w:lvlText w:val="第%1章 "/>
      <w:lvlJc w:val="left"/>
      <w:pPr>
        <w:tabs>
          <w:tab w:val="left" w:pos="0"/>
        </w:tabs>
        <w:ind w:left="0" w:firstLine="0"/>
      </w:pPr>
      <w:rPr>
        <w:rFonts w:hint="eastAsia" w:ascii="宋体" w:hAnsi="宋体" w:eastAsia="宋体" w:cs="宋体"/>
      </w:rPr>
    </w:lvl>
    <w:lvl w:ilvl="1" w:tentative="0">
      <w:start w:val="1"/>
      <w:numFmt w:val="chineseCounting"/>
      <w:pStyle w:val="40"/>
      <w:suff w:val="nothing"/>
      <w:lvlText w:val="%2、"/>
      <w:lvlJc w:val="left"/>
      <w:pPr>
        <w:ind w:left="0" w:firstLine="0"/>
      </w:pPr>
      <w:rPr>
        <w:rFonts w:hint="eastAsia" w:ascii="宋体" w:hAnsi="宋体" w:eastAsia="宋体" w:cs="宋体"/>
      </w:rPr>
    </w:lvl>
    <w:lvl w:ilvl="2" w:tentative="0">
      <w:start w:val="1"/>
      <w:numFmt w:val="chineseCounting"/>
      <w:pStyle w:val="55"/>
      <w:suff w:val="nothing"/>
      <w:lvlText w:val="(%3)"/>
      <w:lvlJc w:val="left"/>
      <w:pPr>
        <w:tabs>
          <w:tab w:val="left" w:pos="0"/>
        </w:tabs>
        <w:ind w:left="0" w:firstLine="0"/>
      </w:pPr>
      <w:rPr>
        <w:rFonts w:hint="eastAsia" w:ascii="宋体" w:hAnsi="宋体" w:eastAsia="宋体" w:cs="宋体"/>
      </w:rPr>
    </w:lvl>
    <w:lvl w:ilvl="3" w:tentative="0">
      <w:start w:val="1"/>
      <w:numFmt w:val="decimal"/>
      <w:pStyle w:val="69"/>
      <w:suff w:val="nothing"/>
      <w:lvlText w:val="%4."/>
      <w:lvlJc w:val="left"/>
      <w:pPr>
        <w:tabs>
          <w:tab w:val="left" w:pos="0"/>
        </w:tabs>
        <w:ind w:left="0" w:firstLine="0"/>
      </w:pPr>
      <w:rPr>
        <w:rFonts w:hint="eastAsia" w:ascii="宋体" w:hAnsi="宋体" w:eastAsia="宋体" w:cs="宋体"/>
      </w:rPr>
    </w:lvl>
    <w:lvl w:ilvl="4" w:tentative="0">
      <w:start w:val="1"/>
      <w:numFmt w:val="decimal"/>
      <w:pStyle w:val="70"/>
      <w:suff w:val="nothing"/>
      <w:lvlText w:val="%4.%5"/>
      <w:lvlJc w:val="left"/>
      <w:pPr>
        <w:ind w:left="0" w:firstLine="0"/>
      </w:pPr>
      <w:rPr>
        <w:rFonts w:hint="eastAsia" w:ascii="宋体" w:hAnsi="宋体" w:eastAsia="宋体" w:cs="宋体"/>
      </w:rPr>
    </w:lvl>
    <w:lvl w:ilvl="5" w:tentative="0">
      <w:start w:val="1"/>
      <w:numFmt w:val="decimal"/>
      <w:pStyle w:val="71"/>
      <w:suff w:val="nothing"/>
      <w:lvlText w:val="(%6)"/>
      <w:lvlJc w:val="left"/>
      <w:pPr>
        <w:ind w:left="0" w:firstLine="0"/>
      </w:pPr>
      <w:rPr>
        <w:rFonts w:hint="eastAsia" w:ascii="宋体" w:hAnsi="宋体" w:eastAsia="宋体" w:cs="宋体"/>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4">
    <w:nsid w:val="BEE94ADC"/>
    <w:multiLevelType w:val="singleLevel"/>
    <w:tmpl w:val="BEE94ADC"/>
    <w:lvl w:ilvl="0" w:tentative="0">
      <w:start w:val="1"/>
      <w:numFmt w:val="chineseCounting"/>
      <w:suff w:val="nothing"/>
      <w:lvlText w:val="（%1）"/>
      <w:lvlJc w:val="left"/>
      <w:pPr>
        <w:ind w:left="0" w:firstLine="420"/>
      </w:pPr>
      <w:rPr>
        <w:rFonts w:hint="eastAsia"/>
      </w:rPr>
    </w:lvl>
  </w:abstractNum>
  <w:abstractNum w:abstractNumId="5">
    <w:nsid w:val="C7F53590"/>
    <w:multiLevelType w:val="multilevel"/>
    <w:tmpl w:val="C7F53590"/>
    <w:lvl w:ilvl="0" w:tentative="0">
      <w:start w:val="1"/>
      <w:numFmt w:val="decimal"/>
      <w:pStyle w:val="44"/>
      <w:suff w:val="nothing"/>
      <w:lvlText w:val="%1."/>
      <w:lvlJc w:val="left"/>
      <w:pPr>
        <w:tabs>
          <w:tab w:val="left" w:pos="420"/>
        </w:tabs>
        <w:ind w:left="0" w:leftChars="0" w:firstLine="0" w:firstLineChars="0"/>
      </w:pPr>
      <w:rPr>
        <w:rFonts w:hint="default" w:ascii="宋体" w:hAnsi="宋体" w:eastAsia="宋体" w:cs="宋体"/>
      </w:rPr>
    </w:lvl>
    <w:lvl w:ilvl="1" w:tentative="0">
      <w:start w:val="1"/>
      <w:numFmt w:val="decimal"/>
      <w:pStyle w:val="45"/>
      <w:suff w:val="nothing"/>
      <w:lvlText w:val="%1.%2"/>
      <w:lvlJc w:val="left"/>
      <w:pPr>
        <w:tabs>
          <w:tab w:val="left" w:pos="420"/>
        </w:tabs>
        <w:ind w:left="0" w:leftChars="0" w:firstLine="0" w:firstLineChars="0"/>
      </w:pPr>
      <w:rPr>
        <w:rFonts w:hint="default" w:ascii="宋体" w:hAnsi="宋体" w:eastAsia="宋体" w:cs="宋体"/>
      </w:rPr>
    </w:lvl>
    <w:lvl w:ilvl="2" w:tentative="0">
      <w:start w:val="1"/>
      <w:numFmt w:val="decimal"/>
      <w:pStyle w:val="46"/>
      <w:suff w:val="nothing"/>
      <w:lvlText w:val="%1.%2.%3"/>
      <w:lvlJc w:val="left"/>
      <w:pPr>
        <w:tabs>
          <w:tab w:val="left" w:pos="420"/>
        </w:tabs>
        <w:ind w:left="0" w:leftChars="0" w:firstLine="0" w:firstLineChars="0"/>
      </w:pPr>
      <w:rPr>
        <w:rFonts w:hint="default" w:ascii="宋体" w:hAnsi="宋体" w:eastAsia="宋体" w:cs="宋体"/>
      </w:rPr>
    </w:lvl>
    <w:lvl w:ilvl="3" w:tentative="0">
      <w:start w:val="1"/>
      <w:numFmt w:val="decimal"/>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abstractNum w:abstractNumId="6">
    <w:nsid w:val="CA240A61"/>
    <w:multiLevelType w:val="singleLevel"/>
    <w:tmpl w:val="CA240A61"/>
    <w:lvl w:ilvl="0" w:tentative="0">
      <w:start w:val="1"/>
      <w:numFmt w:val="chineseCounting"/>
      <w:pStyle w:val="76"/>
      <w:suff w:val="nothing"/>
      <w:lvlText w:val="(%1)"/>
      <w:lvlJc w:val="left"/>
      <w:pPr>
        <w:ind w:left="0" w:firstLine="0"/>
      </w:pPr>
      <w:rPr>
        <w:rFonts w:hint="eastAsia"/>
      </w:rPr>
    </w:lvl>
  </w:abstractNum>
  <w:abstractNum w:abstractNumId="7">
    <w:nsid w:val="D7D5D425"/>
    <w:multiLevelType w:val="singleLevel"/>
    <w:tmpl w:val="D7D5D425"/>
    <w:lvl w:ilvl="0" w:tentative="0">
      <w:start w:val="1"/>
      <w:numFmt w:val="chineseCounting"/>
      <w:suff w:val="nothing"/>
      <w:lvlText w:val="%1、"/>
      <w:lvlJc w:val="left"/>
      <w:pPr>
        <w:ind w:left="0" w:firstLine="420"/>
      </w:pPr>
      <w:rPr>
        <w:rFonts w:hint="eastAsia"/>
      </w:rPr>
    </w:lvl>
  </w:abstractNum>
  <w:abstractNum w:abstractNumId="8">
    <w:nsid w:val="DC5F828C"/>
    <w:multiLevelType w:val="singleLevel"/>
    <w:tmpl w:val="DC5F828C"/>
    <w:lvl w:ilvl="0" w:tentative="0">
      <w:start w:val="1"/>
      <w:numFmt w:val="decimal"/>
      <w:lvlText w:val="(%1)"/>
      <w:lvlJc w:val="left"/>
      <w:pPr>
        <w:ind w:left="425" w:hanging="425"/>
      </w:pPr>
      <w:rPr>
        <w:rFonts w:hint="default"/>
      </w:rPr>
    </w:lvl>
  </w:abstractNum>
  <w:abstractNum w:abstractNumId="9">
    <w:nsid w:val="E1C6327C"/>
    <w:multiLevelType w:val="multilevel"/>
    <w:tmpl w:val="E1C6327C"/>
    <w:lvl w:ilvl="0" w:tentative="0">
      <w:start w:val="1"/>
      <w:numFmt w:val="chineseCounting"/>
      <w:suff w:val="nothing"/>
      <w:lvlText w:val="%1、"/>
      <w:lvlJc w:val="left"/>
      <w:pPr>
        <w:tabs>
          <w:tab w:val="left" w:pos="0"/>
        </w:tabs>
        <w:ind w:left="0" w:firstLine="0"/>
      </w:pPr>
      <w:rPr>
        <w:rFonts w:hint="eastAsia" w:ascii="宋体" w:hAnsi="宋体" w:eastAsia="宋体" w:cs="宋体"/>
      </w:rPr>
    </w:lvl>
    <w:lvl w:ilvl="1" w:tentative="0">
      <w:start w:val="1"/>
      <w:numFmt w:val="chineseCounting"/>
      <w:pStyle w:val="38"/>
      <w:suff w:val="nothing"/>
      <w:lvlText w:val="(%2)"/>
      <w:lvlJc w:val="left"/>
      <w:pPr>
        <w:ind w:left="0" w:firstLine="0"/>
      </w:pPr>
      <w:rPr>
        <w:rFonts w:hint="eastAsia" w:ascii="宋体" w:hAnsi="宋体" w:eastAsia="宋体" w:cs="宋体"/>
      </w:rPr>
    </w:lvl>
    <w:lvl w:ilvl="2" w:tentative="0">
      <w:start w:val="1"/>
      <w:numFmt w:val="decimal"/>
      <w:pStyle w:val="41"/>
      <w:suff w:val="nothing"/>
      <w:lvlText w:val="%3."/>
      <w:lvlJc w:val="left"/>
      <w:pPr>
        <w:ind w:left="0" w:firstLine="0"/>
      </w:pPr>
      <w:rPr>
        <w:rFonts w:hint="eastAsia" w:ascii="宋体" w:hAnsi="宋体" w:eastAsia="宋体" w:cs="宋体"/>
      </w:rPr>
    </w:lvl>
    <w:lvl w:ilvl="3" w:tentative="0">
      <w:start w:val="1"/>
      <w:numFmt w:val="decimal"/>
      <w:pStyle w:val="42"/>
      <w:suff w:val="nothing"/>
      <w:lvlText w:val="%3.%4"/>
      <w:lvlJc w:val="left"/>
      <w:pPr>
        <w:ind w:left="0" w:firstLine="0"/>
      </w:pPr>
      <w:rPr>
        <w:rFonts w:hint="eastAsia" w:ascii="宋体" w:hAnsi="宋体" w:eastAsia="宋体" w:cs="宋体"/>
      </w:rPr>
    </w:lvl>
    <w:lvl w:ilvl="4" w:tentative="0">
      <w:start w:val="1"/>
      <w:numFmt w:val="decimal"/>
      <w:pStyle w:val="43"/>
      <w:suff w:val="nothing"/>
      <w:lvlText w:val="(%5)"/>
      <w:lvlJc w:val="left"/>
      <w:pPr>
        <w:ind w:left="0" w:firstLine="0"/>
      </w:pPr>
      <w:rPr>
        <w:rFonts w:hint="eastAsia" w:ascii="宋体" w:hAnsi="宋体" w:eastAsia="宋体" w:cs="宋体"/>
      </w:rPr>
    </w:lvl>
    <w:lvl w:ilvl="5" w:tentative="0">
      <w:start w:val="1"/>
      <w:numFmt w:val="decimal"/>
      <w:pStyle w:val="5"/>
      <w:suff w:val="nothing"/>
      <w:lvlText w:val="%6）"/>
      <w:lvlJc w:val="left"/>
      <w:pPr>
        <w:ind w:left="0" w:firstLine="402"/>
      </w:pPr>
      <w:rPr>
        <w:rFonts w:hint="eastAsia"/>
      </w:rPr>
    </w:lvl>
    <w:lvl w:ilvl="6" w:tentative="0">
      <w:start w:val="1"/>
      <w:numFmt w:val="lowerLetter"/>
      <w:pStyle w:val="6"/>
      <w:suff w:val="nothing"/>
      <w:lvlText w:val="%7．"/>
      <w:lvlJc w:val="left"/>
      <w:pPr>
        <w:ind w:left="0" w:firstLine="402"/>
      </w:pPr>
      <w:rPr>
        <w:rFonts w:hint="eastAsia"/>
      </w:rPr>
    </w:lvl>
    <w:lvl w:ilvl="7" w:tentative="0">
      <w:start w:val="1"/>
      <w:numFmt w:val="lowerLetter"/>
      <w:pStyle w:val="7"/>
      <w:suff w:val="nothing"/>
      <w:lvlText w:val="%8）"/>
      <w:lvlJc w:val="left"/>
      <w:pPr>
        <w:ind w:left="0" w:firstLine="402"/>
      </w:pPr>
      <w:rPr>
        <w:rFonts w:hint="eastAsia"/>
      </w:rPr>
    </w:lvl>
    <w:lvl w:ilvl="8" w:tentative="0">
      <w:start w:val="1"/>
      <w:numFmt w:val="lowerRoman"/>
      <w:pStyle w:val="8"/>
      <w:suff w:val="nothing"/>
      <w:lvlText w:val="%9 "/>
      <w:lvlJc w:val="left"/>
      <w:pPr>
        <w:ind w:left="0" w:firstLine="402"/>
      </w:pPr>
      <w:rPr>
        <w:rFonts w:hint="eastAsia"/>
      </w:rPr>
    </w:lvl>
  </w:abstractNum>
  <w:abstractNum w:abstractNumId="10">
    <w:nsid w:val="EB6083F9"/>
    <w:multiLevelType w:val="singleLevel"/>
    <w:tmpl w:val="EB6083F9"/>
    <w:lvl w:ilvl="0" w:tentative="0">
      <w:start w:val="1"/>
      <w:numFmt w:val="chineseCounting"/>
      <w:suff w:val="nothing"/>
      <w:lvlText w:val="%1、"/>
      <w:lvlJc w:val="left"/>
      <w:pPr>
        <w:ind w:left="0" w:firstLine="420"/>
      </w:pPr>
      <w:rPr>
        <w:rFonts w:hint="eastAsia"/>
      </w:rPr>
    </w:lvl>
  </w:abstractNum>
  <w:abstractNum w:abstractNumId="11">
    <w:nsid w:val="3BE96167"/>
    <w:multiLevelType w:val="singleLevel"/>
    <w:tmpl w:val="3BE96167"/>
    <w:lvl w:ilvl="0" w:tentative="0">
      <w:start w:val="1"/>
      <w:numFmt w:val="chineseCounting"/>
      <w:suff w:val="nothing"/>
      <w:lvlText w:val="%1、"/>
      <w:lvlJc w:val="left"/>
      <w:pPr>
        <w:ind w:left="0" w:firstLine="420"/>
      </w:pPr>
      <w:rPr>
        <w:rFonts w:hint="eastAsia"/>
      </w:r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3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3">
    <w:nsid w:val="79578A8E"/>
    <w:multiLevelType w:val="singleLevel"/>
    <w:tmpl w:val="79578A8E"/>
    <w:lvl w:ilvl="0" w:tentative="0">
      <w:start w:val="1"/>
      <w:numFmt w:val="decimal"/>
      <w:lvlText w:val="%1"/>
      <w:lvlJc w:val="left"/>
      <w:pPr>
        <w:tabs>
          <w:tab w:val="left" w:pos="0"/>
        </w:tabs>
        <w:ind w:left="0" w:leftChars="0" w:firstLine="0" w:firstLineChars="0"/>
      </w:pPr>
      <w:rPr>
        <w:rFonts w:hint="default"/>
      </w:rPr>
    </w:lvl>
  </w:abstractNum>
  <w:num w:numId="1">
    <w:abstractNumId w:val="9"/>
  </w:num>
  <w:num w:numId="2">
    <w:abstractNumId w:val="12"/>
  </w:num>
  <w:num w:numId="3">
    <w:abstractNumId w:val="3"/>
  </w:num>
  <w:num w:numId="4">
    <w:abstractNumId w:val="5"/>
  </w:num>
  <w:num w:numId="5">
    <w:abstractNumId w:val="6"/>
  </w:num>
  <w:num w:numId="6">
    <w:abstractNumId w:val="2"/>
  </w:num>
  <w:num w:numId="7">
    <w:abstractNumId w:val="11"/>
  </w:num>
  <w:num w:numId="8">
    <w:abstractNumId w:val="13"/>
  </w:num>
  <w:num w:numId="9">
    <w:abstractNumId w:val="8"/>
  </w:num>
  <w:num w:numId="10">
    <w:abstractNumId w:val="1"/>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10"/>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7"/>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0"/>
  <w:bordersDoNotSurroundFooter w:val="0"/>
  <w:documentProtection w:enforcement="0"/>
  <w:defaultTabStop w:val="0"/>
  <w:drawingGridHorizontalSpacing w:val="21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I1NGQ4MDY4NjMxYWVlMzc3ODM2NDE0MmU1ODUxYzYifQ=="/>
  </w:docVars>
  <w:rsids>
    <w:rsidRoot w:val="00172A27"/>
    <w:rsid w:val="0000400A"/>
    <w:rsid w:val="000168D4"/>
    <w:rsid w:val="000504D4"/>
    <w:rsid w:val="00050929"/>
    <w:rsid w:val="00071F90"/>
    <w:rsid w:val="00080967"/>
    <w:rsid w:val="00083410"/>
    <w:rsid w:val="00083A85"/>
    <w:rsid w:val="000A22EE"/>
    <w:rsid w:val="000D7DD0"/>
    <w:rsid w:val="0010191C"/>
    <w:rsid w:val="00101AE9"/>
    <w:rsid w:val="001025A9"/>
    <w:rsid w:val="0010309E"/>
    <w:rsid w:val="0012071D"/>
    <w:rsid w:val="00127F82"/>
    <w:rsid w:val="00152049"/>
    <w:rsid w:val="00172A27"/>
    <w:rsid w:val="001747EE"/>
    <w:rsid w:val="0017535B"/>
    <w:rsid w:val="00180AAC"/>
    <w:rsid w:val="00190708"/>
    <w:rsid w:val="001B6050"/>
    <w:rsid w:val="001C42C5"/>
    <w:rsid w:val="001E2AED"/>
    <w:rsid w:val="001E6888"/>
    <w:rsid w:val="002214E7"/>
    <w:rsid w:val="00225683"/>
    <w:rsid w:val="00234073"/>
    <w:rsid w:val="002435A0"/>
    <w:rsid w:val="00243FF7"/>
    <w:rsid w:val="00247B38"/>
    <w:rsid w:val="0025536B"/>
    <w:rsid w:val="002565E2"/>
    <w:rsid w:val="00267611"/>
    <w:rsid w:val="00282CD9"/>
    <w:rsid w:val="00290AF1"/>
    <w:rsid w:val="002B5D9A"/>
    <w:rsid w:val="002B6AE7"/>
    <w:rsid w:val="002B79CA"/>
    <w:rsid w:val="002E06BF"/>
    <w:rsid w:val="002E1A1C"/>
    <w:rsid w:val="002E5F48"/>
    <w:rsid w:val="002F05A6"/>
    <w:rsid w:val="002F3BB7"/>
    <w:rsid w:val="00315B60"/>
    <w:rsid w:val="003274CB"/>
    <w:rsid w:val="003368A3"/>
    <w:rsid w:val="00344015"/>
    <w:rsid w:val="00346B27"/>
    <w:rsid w:val="00353E82"/>
    <w:rsid w:val="00396369"/>
    <w:rsid w:val="003B2228"/>
    <w:rsid w:val="003C13E4"/>
    <w:rsid w:val="003D21F1"/>
    <w:rsid w:val="003E1DCC"/>
    <w:rsid w:val="003F4651"/>
    <w:rsid w:val="00410967"/>
    <w:rsid w:val="00411E40"/>
    <w:rsid w:val="00415E21"/>
    <w:rsid w:val="00445ADF"/>
    <w:rsid w:val="0046727E"/>
    <w:rsid w:val="00481283"/>
    <w:rsid w:val="00482071"/>
    <w:rsid w:val="00483674"/>
    <w:rsid w:val="004861AE"/>
    <w:rsid w:val="00486D20"/>
    <w:rsid w:val="00495036"/>
    <w:rsid w:val="004A6781"/>
    <w:rsid w:val="004A7D40"/>
    <w:rsid w:val="004B4092"/>
    <w:rsid w:val="004E0FDD"/>
    <w:rsid w:val="004F2F95"/>
    <w:rsid w:val="00506600"/>
    <w:rsid w:val="00526D76"/>
    <w:rsid w:val="00551430"/>
    <w:rsid w:val="00554499"/>
    <w:rsid w:val="00557A19"/>
    <w:rsid w:val="00562B5C"/>
    <w:rsid w:val="00570E40"/>
    <w:rsid w:val="00573162"/>
    <w:rsid w:val="005F3F05"/>
    <w:rsid w:val="0060449E"/>
    <w:rsid w:val="006058A4"/>
    <w:rsid w:val="006109FE"/>
    <w:rsid w:val="00614BF4"/>
    <w:rsid w:val="00616B6E"/>
    <w:rsid w:val="00633858"/>
    <w:rsid w:val="00635E1D"/>
    <w:rsid w:val="006360BD"/>
    <w:rsid w:val="00670841"/>
    <w:rsid w:val="006708EE"/>
    <w:rsid w:val="006934B4"/>
    <w:rsid w:val="00694C4F"/>
    <w:rsid w:val="006B1D4C"/>
    <w:rsid w:val="006C21DD"/>
    <w:rsid w:val="006F6EF3"/>
    <w:rsid w:val="00722E70"/>
    <w:rsid w:val="00735F80"/>
    <w:rsid w:val="0074524D"/>
    <w:rsid w:val="00784579"/>
    <w:rsid w:val="007B1F36"/>
    <w:rsid w:val="007D09EC"/>
    <w:rsid w:val="007F300C"/>
    <w:rsid w:val="008003F4"/>
    <w:rsid w:val="008016F9"/>
    <w:rsid w:val="008062AE"/>
    <w:rsid w:val="00811328"/>
    <w:rsid w:val="00815C57"/>
    <w:rsid w:val="00815F35"/>
    <w:rsid w:val="0082614F"/>
    <w:rsid w:val="00850B71"/>
    <w:rsid w:val="0085639C"/>
    <w:rsid w:val="0087454D"/>
    <w:rsid w:val="00890D7F"/>
    <w:rsid w:val="008A0EB1"/>
    <w:rsid w:val="008A2076"/>
    <w:rsid w:val="008E659E"/>
    <w:rsid w:val="008F1529"/>
    <w:rsid w:val="008F1CB6"/>
    <w:rsid w:val="008F67BA"/>
    <w:rsid w:val="008F717E"/>
    <w:rsid w:val="008F74EB"/>
    <w:rsid w:val="00902627"/>
    <w:rsid w:val="0090455E"/>
    <w:rsid w:val="00931981"/>
    <w:rsid w:val="00932AFD"/>
    <w:rsid w:val="00942ED3"/>
    <w:rsid w:val="00945986"/>
    <w:rsid w:val="00946F94"/>
    <w:rsid w:val="00990893"/>
    <w:rsid w:val="009C43E6"/>
    <w:rsid w:val="009D01D2"/>
    <w:rsid w:val="009E1E4F"/>
    <w:rsid w:val="009F5992"/>
    <w:rsid w:val="00A23AFB"/>
    <w:rsid w:val="00A3273B"/>
    <w:rsid w:val="00A33E9A"/>
    <w:rsid w:val="00A466E6"/>
    <w:rsid w:val="00A47F1F"/>
    <w:rsid w:val="00A508D1"/>
    <w:rsid w:val="00A51374"/>
    <w:rsid w:val="00A75A1A"/>
    <w:rsid w:val="00A837A5"/>
    <w:rsid w:val="00A95C07"/>
    <w:rsid w:val="00AA4C47"/>
    <w:rsid w:val="00AA51C1"/>
    <w:rsid w:val="00AB65CA"/>
    <w:rsid w:val="00AB67D8"/>
    <w:rsid w:val="00AC2F78"/>
    <w:rsid w:val="00AC5E59"/>
    <w:rsid w:val="00AF3998"/>
    <w:rsid w:val="00B07B2E"/>
    <w:rsid w:val="00B31CC3"/>
    <w:rsid w:val="00B44B56"/>
    <w:rsid w:val="00BA69F4"/>
    <w:rsid w:val="00BA6D13"/>
    <w:rsid w:val="00BB299F"/>
    <w:rsid w:val="00BE1766"/>
    <w:rsid w:val="00BF4E9E"/>
    <w:rsid w:val="00C00F81"/>
    <w:rsid w:val="00C17A63"/>
    <w:rsid w:val="00C32340"/>
    <w:rsid w:val="00C35487"/>
    <w:rsid w:val="00C43BC1"/>
    <w:rsid w:val="00C711E4"/>
    <w:rsid w:val="00CA0AAA"/>
    <w:rsid w:val="00CD401B"/>
    <w:rsid w:val="00CD437E"/>
    <w:rsid w:val="00CD43B3"/>
    <w:rsid w:val="00CD58A7"/>
    <w:rsid w:val="00CE226F"/>
    <w:rsid w:val="00CF53F3"/>
    <w:rsid w:val="00D174EB"/>
    <w:rsid w:val="00D23AEC"/>
    <w:rsid w:val="00D3714A"/>
    <w:rsid w:val="00D373B2"/>
    <w:rsid w:val="00D37D24"/>
    <w:rsid w:val="00D80201"/>
    <w:rsid w:val="00D827D3"/>
    <w:rsid w:val="00D87B92"/>
    <w:rsid w:val="00D87C93"/>
    <w:rsid w:val="00DA65C9"/>
    <w:rsid w:val="00DB5C76"/>
    <w:rsid w:val="00DC4298"/>
    <w:rsid w:val="00DC68DD"/>
    <w:rsid w:val="00DD6189"/>
    <w:rsid w:val="00DD654B"/>
    <w:rsid w:val="00DF10BC"/>
    <w:rsid w:val="00E04823"/>
    <w:rsid w:val="00E2173D"/>
    <w:rsid w:val="00E53568"/>
    <w:rsid w:val="00E60A72"/>
    <w:rsid w:val="00E7258B"/>
    <w:rsid w:val="00E74CE9"/>
    <w:rsid w:val="00E7539A"/>
    <w:rsid w:val="00E76276"/>
    <w:rsid w:val="00E83C3F"/>
    <w:rsid w:val="00E86078"/>
    <w:rsid w:val="00E87BB1"/>
    <w:rsid w:val="00E93F48"/>
    <w:rsid w:val="00E965F8"/>
    <w:rsid w:val="00EB31E1"/>
    <w:rsid w:val="00EE2E61"/>
    <w:rsid w:val="00EE2E62"/>
    <w:rsid w:val="00EF4699"/>
    <w:rsid w:val="00F025B2"/>
    <w:rsid w:val="00F0340D"/>
    <w:rsid w:val="00F140D0"/>
    <w:rsid w:val="00F22D2F"/>
    <w:rsid w:val="00F23715"/>
    <w:rsid w:val="00F32329"/>
    <w:rsid w:val="00F4295B"/>
    <w:rsid w:val="00F714C7"/>
    <w:rsid w:val="00F9177B"/>
    <w:rsid w:val="00FC07B5"/>
    <w:rsid w:val="00FD2CEE"/>
    <w:rsid w:val="010F1DA1"/>
    <w:rsid w:val="011E300A"/>
    <w:rsid w:val="013D1C8A"/>
    <w:rsid w:val="013F0F7C"/>
    <w:rsid w:val="01464694"/>
    <w:rsid w:val="015258FF"/>
    <w:rsid w:val="01601E7A"/>
    <w:rsid w:val="016F329F"/>
    <w:rsid w:val="01782F69"/>
    <w:rsid w:val="017C6290"/>
    <w:rsid w:val="01876A1F"/>
    <w:rsid w:val="018B3842"/>
    <w:rsid w:val="018C1643"/>
    <w:rsid w:val="018F03FE"/>
    <w:rsid w:val="01917322"/>
    <w:rsid w:val="019377A3"/>
    <w:rsid w:val="01993D60"/>
    <w:rsid w:val="01A40160"/>
    <w:rsid w:val="01A93FA3"/>
    <w:rsid w:val="01A96BB6"/>
    <w:rsid w:val="01AA4EAC"/>
    <w:rsid w:val="01AB6348"/>
    <w:rsid w:val="01AE15BA"/>
    <w:rsid w:val="01B763DC"/>
    <w:rsid w:val="01BC53AC"/>
    <w:rsid w:val="01BD35AB"/>
    <w:rsid w:val="01C0753F"/>
    <w:rsid w:val="01C20BC1"/>
    <w:rsid w:val="01C91C5F"/>
    <w:rsid w:val="01D57332"/>
    <w:rsid w:val="01DA5F1D"/>
    <w:rsid w:val="01E366FD"/>
    <w:rsid w:val="01E4052A"/>
    <w:rsid w:val="01EE75D4"/>
    <w:rsid w:val="02132164"/>
    <w:rsid w:val="02195753"/>
    <w:rsid w:val="022117A3"/>
    <w:rsid w:val="022A49B8"/>
    <w:rsid w:val="022D7471"/>
    <w:rsid w:val="023372E3"/>
    <w:rsid w:val="02362CC5"/>
    <w:rsid w:val="0236335D"/>
    <w:rsid w:val="02377801"/>
    <w:rsid w:val="02380E83"/>
    <w:rsid w:val="024669DA"/>
    <w:rsid w:val="024E06A7"/>
    <w:rsid w:val="02676F4A"/>
    <w:rsid w:val="02691984"/>
    <w:rsid w:val="026D704D"/>
    <w:rsid w:val="02735026"/>
    <w:rsid w:val="027655B6"/>
    <w:rsid w:val="02792F82"/>
    <w:rsid w:val="02806689"/>
    <w:rsid w:val="02825F13"/>
    <w:rsid w:val="02833BCB"/>
    <w:rsid w:val="028430AA"/>
    <w:rsid w:val="028879D9"/>
    <w:rsid w:val="02A1111E"/>
    <w:rsid w:val="02A12F56"/>
    <w:rsid w:val="02A14D74"/>
    <w:rsid w:val="02B43DAD"/>
    <w:rsid w:val="02B71517"/>
    <w:rsid w:val="02BC4E5F"/>
    <w:rsid w:val="02CC42EB"/>
    <w:rsid w:val="02DC1FED"/>
    <w:rsid w:val="02DD3DF1"/>
    <w:rsid w:val="02DE4088"/>
    <w:rsid w:val="02E247AD"/>
    <w:rsid w:val="02E3266E"/>
    <w:rsid w:val="02ED4364"/>
    <w:rsid w:val="02F71628"/>
    <w:rsid w:val="02FC6355"/>
    <w:rsid w:val="02FE20CD"/>
    <w:rsid w:val="03035935"/>
    <w:rsid w:val="0306250D"/>
    <w:rsid w:val="030B2A3C"/>
    <w:rsid w:val="031218D5"/>
    <w:rsid w:val="031C70D4"/>
    <w:rsid w:val="0321449C"/>
    <w:rsid w:val="0329126E"/>
    <w:rsid w:val="03304250"/>
    <w:rsid w:val="033436B4"/>
    <w:rsid w:val="0337738D"/>
    <w:rsid w:val="033F7AFD"/>
    <w:rsid w:val="034175A9"/>
    <w:rsid w:val="034561FE"/>
    <w:rsid w:val="03486A36"/>
    <w:rsid w:val="034D6BB0"/>
    <w:rsid w:val="034E1F5E"/>
    <w:rsid w:val="034F0B7A"/>
    <w:rsid w:val="0350391F"/>
    <w:rsid w:val="035717DD"/>
    <w:rsid w:val="03644B36"/>
    <w:rsid w:val="036E7CB0"/>
    <w:rsid w:val="03770FAA"/>
    <w:rsid w:val="0388610D"/>
    <w:rsid w:val="039261BA"/>
    <w:rsid w:val="03A013D6"/>
    <w:rsid w:val="03B32D25"/>
    <w:rsid w:val="03C23BAF"/>
    <w:rsid w:val="03C249D5"/>
    <w:rsid w:val="03C40ABE"/>
    <w:rsid w:val="03D60077"/>
    <w:rsid w:val="03DC7E66"/>
    <w:rsid w:val="03E3449B"/>
    <w:rsid w:val="03F050BD"/>
    <w:rsid w:val="03F7077E"/>
    <w:rsid w:val="03F90DB1"/>
    <w:rsid w:val="03FB00F1"/>
    <w:rsid w:val="040172D5"/>
    <w:rsid w:val="04053316"/>
    <w:rsid w:val="040746F2"/>
    <w:rsid w:val="041E23EC"/>
    <w:rsid w:val="04256CBB"/>
    <w:rsid w:val="042711D5"/>
    <w:rsid w:val="042E0EC7"/>
    <w:rsid w:val="0431295A"/>
    <w:rsid w:val="0433224A"/>
    <w:rsid w:val="0438590F"/>
    <w:rsid w:val="04455AD9"/>
    <w:rsid w:val="044D771D"/>
    <w:rsid w:val="044F225E"/>
    <w:rsid w:val="0453127A"/>
    <w:rsid w:val="0461636B"/>
    <w:rsid w:val="04671AF4"/>
    <w:rsid w:val="0467789F"/>
    <w:rsid w:val="046F52E9"/>
    <w:rsid w:val="047304C5"/>
    <w:rsid w:val="047B1E84"/>
    <w:rsid w:val="047C5E12"/>
    <w:rsid w:val="04802939"/>
    <w:rsid w:val="0482288A"/>
    <w:rsid w:val="04841778"/>
    <w:rsid w:val="04864A9B"/>
    <w:rsid w:val="0488238D"/>
    <w:rsid w:val="04892F7A"/>
    <w:rsid w:val="04A20B39"/>
    <w:rsid w:val="04B830C1"/>
    <w:rsid w:val="04BC5D9C"/>
    <w:rsid w:val="04C0476A"/>
    <w:rsid w:val="04C759C7"/>
    <w:rsid w:val="04C9670A"/>
    <w:rsid w:val="04D035F5"/>
    <w:rsid w:val="04D055E9"/>
    <w:rsid w:val="04DE5CC1"/>
    <w:rsid w:val="04EB042F"/>
    <w:rsid w:val="04EB6681"/>
    <w:rsid w:val="04F10481"/>
    <w:rsid w:val="04F30120"/>
    <w:rsid w:val="04F51041"/>
    <w:rsid w:val="04F72D3C"/>
    <w:rsid w:val="04FB6CA5"/>
    <w:rsid w:val="04FF4175"/>
    <w:rsid w:val="05056D77"/>
    <w:rsid w:val="050F11BF"/>
    <w:rsid w:val="051139B5"/>
    <w:rsid w:val="05191440"/>
    <w:rsid w:val="05204AF2"/>
    <w:rsid w:val="05232BB3"/>
    <w:rsid w:val="052E656D"/>
    <w:rsid w:val="053C2598"/>
    <w:rsid w:val="054364BD"/>
    <w:rsid w:val="05533444"/>
    <w:rsid w:val="05551283"/>
    <w:rsid w:val="05551447"/>
    <w:rsid w:val="05665D07"/>
    <w:rsid w:val="056D7219"/>
    <w:rsid w:val="056D77F4"/>
    <w:rsid w:val="057C1154"/>
    <w:rsid w:val="0586026D"/>
    <w:rsid w:val="059052A1"/>
    <w:rsid w:val="059211F2"/>
    <w:rsid w:val="059377C2"/>
    <w:rsid w:val="05981791"/>
    <w:rsid w:val="05A0746B"/>
    <w:rsid w:val="05AA6ECF"/>
    <w:rsid w:val="05B55267"/>
    <w:rsid w:val="05B60A3D"/>
    <w:rsid w:val="05BD44C2"/>
    <w:rsid w:val="05C14E93"/>
    <w:rsid w:val="05C313AC"/>
    <w:rsid w:val="05C66198"/>
    <w:rsid w:val="05EE7A21"/>
    <w:rsid w:val="05F0060D"/>
    <w:rsid w:val="05F74FD6"/>
    <w:rsid w:val="06015BFD"/>
    <w:rsid w:val="06042A70"/>
    <w:rsid w:val="06157620"/>
    <w:rsid w:val="0616597F"/>
    <w:rsid w:val="06187A43"/>
    <w:rsid w:val="0620235A"/>
    <w:rsid w:val="062A4F87"/>
    <w:rsid w:val="062C0CFF"/>
    <w:rsid w:val="062F0344"/>
    <w:rsid w:val="063161BD"/>
    <w:rsid w:val="06322365"/>
    <w:rsid w:val="06336531"/>
    <w:rsid w:val="063B7194"/>
    <w:rsid w:val="0644691C"/>
    <w:rsid w:val="06473E71"/>
    <w:rsid w:val="064C13DA"/>
    <w:rsid w:val="065904CC"/>
    <w:rsid w:val="06607022"/>
    <w:rsid w:val="06640B64"/>
    <w:rsid w:val="066466EB"/>
    <w:rsid w:val="06657762"/>
    <w:rsid w:val="066D09E8"/>
    <w:rsid w:val="066D20E0"/>
    <w:rsid w:val="06791870"/>
    <w:rsid w:val="067F52D3"/>
    <w:rsid w:val="069F0A0E"/>
    <w:rsid w:val="06AB172E"/>
    <w:rsid w:val="06AB256C"/>
    <w:rsid w:val="06AB30A9"/>
    <w:rsid w:val="06AB7088"/>
    <w:rsid w:val="06AC39F1"/>
    <w:rsid w:val="06BA7F39"/>
    <w:rsid w:val="06C12E7B"/>
    <w:rsid w:val="06C14990"/>
    <w:rsid w:val="06C255FB"/>
    <w:rsid w:val="06C466BB"/>
    <w:rsid w:val="06C54CB0"/>
    <w:rsid w:val="06C764CB"/>
    <w:rsid w:val="06D33870"/>
    <w:rsid w:val="06DC4238"/>
    <w:rsid w:val="06E11AE9"/>
    <w:rsid w:val="06E91B3A"/>
    <w:rsid w:val="06F23D1E"/>
    <w:rsid w:val="06FF392B"/>
    <w:rsid w:val="07022353"/>
    <w:rsid w:val="07057562"/>
    <w:rsid w:val="070E2AFA"/>
    <w:rsid w:val="0724643B"/>
    <w:rsid w:val="072A238A"/>
    <w:rsid w:val="0736320D"/>
    <w:rsid w:val="073B634E"/>
    <w:rsid w:val="073C2D1E"/>
    <w:rsid w:val="074C58DC"/>
    <w:rsid w:val="075615A8"/>
    <w:rsid w:val="07641D0D"/>
    <w:rsid w:val="07662674"/>
    <w:rsid w:val="0767483A"/>
    <w:rsid w:val="076D1160"/>
    <w:rsid w:val="07834FAC"/>
    <w:rsid w:val="07893F2F"/>
    <w:rsid w:val="078F30CB"/>
    <w:rsid w:val="07A01F66"/>
    <w:rsid w:val="07A31B05"/>
    <w:rsid w:val="07AC0B45"/>
    <w:rsid w:val="07BF6ABC"/>
    <w:rsid w:val="07C40FCD"/>
    <w:rsid w:val="07D21D7A"/>
    <w:rsid w:val="07D879E1"/>
    <w:rsid w:val="07E0507A"/>
    <w:rsid w:val="07E761B7"/>
    <w:rsid w:val="07E91DAA"/>
    <w:rsid w:val="07EB4F03"/>
    <w:rsid w:val="07F41CF0"/>
    <w:rsid w:val="07F73864"/>
    <w:rsid w:val="080203D0"/>
    <w:rsid w:val="080F372F"/>
    <w:rsid w:val="080F6B2A"/>
    <w:rsid w:val="081A6BAD"/>
    <w:rsid w:val="08273974"/>
    <w:rsid w:val="082A73B9"/>
    <w:rsid w:val="082F56F4"/>
    <w:rsid w:val="08365E65"/>
    <w:rsid w:val="08372ED5"/>
    <w:rsid w:val="083D7026"/>
    <w:rsid w:val="08400F85"/>
    <w:rsid w:val="08444585"/>
    <w:rsid w:val="084D1037"/>
    <w:rsid w:val="085049F9"/>
    <w:rsid w:val="08505652"/>
    <w:rsid w:val="08541F2D"/>
    <w:rsid w:val="08591B53"/>
    <w:rsid w:val="085D7896"/>
    <w:rsid w:val="086159A4"/>
    <w:rsid w:val="086379DD"/>
    <w:rsid w:val="08795873"/>
    <w:rsid w:val="08807C62"/>
    <w:rsid w:val="08874B60"/>
    <w:rsid w:val="08885FE3"/>
    <w:rsid w:val="08903BD8"/>
    <w:rsid w:val="08907099"/>
    <w:rsid w:val="089815BC"/>
    <w:rsid w:val="08A4283A"/>
    <w:rsid w:val="08A70B11"/>
    <w:rsid w:val="08B0513C"/>
    <w:rsid w:val="08B72C3A"/>
    <w:rsid w:val="08BE07C4"/>
    <w:rsid w:val="08C0336E"/>
    <w:rsid w:val="08C203AB"/>
    <w:rsid w:val="08C665C7"/>
    <w:rsid w:val="08CF3947"/>
    <w:rsid w:val="08D539E3"/>
    <w:rsid w:val="08D84396"/>
    <w:rsid w:val="08DB73B0"/>
    <w:rsid w:val="08DE1C47"/>
    <w:rsid w:val="08EC63BA"/>
    <w:rsid w:val="08EE6DAF"/>
    <w:rsid w:val="08EF3D6F"/>
    <w:rsid w:val="090C33A6"/>
    <w:rsid w:val="090E0B90"/>
    <w:rsid w:val="09137F54"/>
    <w:rsid w:val="09187ED2"/>
    <w:rsid w:val="091D71CF"/>
    <w:rsid w:val="092D2818"/>
    <w:rsid w:val="09376339"/>
    <w:rsid w:val="093B5F9E"/>
    <w:rsid w:val="09474FBC"/>
    <w:rsid w:val="094D4667"/>
    <w:rsid w:val="09502F56"/>
    <w:rsid w:val="095520D8"/>
    <w:rsid w:val="095D0797"/>
    <w:rsid w:val="09640E51"/>
    <w:rsid w:val="096B20A4"/>
    <w:rsid w:val="0978425B"/>
    <w:rsid w:val="0980411B"/>
    <w:rsid w:val="098826BB"/>
    <w:rsid w:val="098E57E7"/>
    <w:rsid w:val="09946A19"/>
    <w:rsid w:val="099E10A8"/>
    <w:rsid w:val="09B024F6"/>
    <w:rsid w:val="09B421E7"/>
    <w:rsid w:val="09BC791B"/>
    <w:rsid w:val="09BE25B6"/>
    <w:rsid w:val="09C676BC"/>
    <w:rsid w:val="09CA0BB9"/>
    <w:rsid w:val="09CC3BAD"/>
    <w:rsid w:val="09E244D3"/>
    <w:rsid w:val="09E40044"/>
    <w:rsid w:val="09E44204"/>
    <w:rsid w:val="09F410FD"/>
    <w:rsid w:val="09F63AFE"/>
    <w:rsid w:val="0A141092"/>
    <w:rsid w:val="0A157CFC"/>
    <w:rsid w:val="0A18215B"/>
    <w:rsid w:val="0A1C206E"/>
    <w:rsid w:val="0A1F3AFB"/>
    <w:rsid w:val="0A214D17"/>
    <w:rsid w:val="0A2316C1"/>
    <w:rsid w:val="0A374116"/>
    <w:rsid w:val="0A3B1828"/>
    <w:rsid w:val="0A3D4730"/>
    <w:rsid w:val="0A406793"/>
    <w:rsid w:val="0A4F12AA"/>
    <w:rsid w:val="0A4F2112"/>
    <w:rsid w:val="0A562EAD"/>
    <w:rsid w:val="0A60366D"/>
    <w:rsid w:val="0A6A4DCF"/>
    <w:rsid w:val="0A6F1B02"/>
    <w:rsid w:val="0A88671B"/>
    <w:rsid w:val="0A8A08A5"/>
    <w:rsid w:val="0A941E7B"/>
    <w:rsid w:val="0A9A0D24"/>
    <w:rsid w:val="0AAE43D8"/>
    <w:rsid w:val="0ABC5CC2"/>
    <w:rsid w:val="0ABF45E0"/>
    <w:rsid w:val="0AC253B8"/>
    <w:rsid w:val="0ACB4F8A"/>
    <w:rsid w:val="0AD029E3"/>
    <w:rsid w:val="0AD20D78"/>
    <w:rsid w:val="0AD319F0"/>
    <w:rsid w:val="0AD95FEE"/>
    <w:rsid w:val="0AEB1D55"/>
    <w:rsid w:val="0AEF28BE"/>
    <w:rsid w:val="0AFB1A29"/>
    <w:rsid w:val="0AFC7C23"/>
    <w:rsid w:val="0B030A0E"/>
    <w:rsid w:val="0B165FCB"/>
    <w:rsid w:val="0B27100A"/>
    <w:rsid w:val="0B283403"/>
    <w:rsid w:val="0B302931"/>
    <w:rsid w:val="0B373A25"/>
    <w:rsid w:val="0B380146"/>
    <w:rsid w:val="0B3F7726"/>
    <w:rsid w:val="0B490628"/>
    <w:rsid w:val="0B4D084E"/>
    <w:rsid w:val="0B5001FD"/>
    <w:rsid w:val="0B5D62E7"/>
    <w:rsid w:val="0B5E6C1B"/>
    <w:rsid w:val="0B7C78A1"/>
    <w:rsid w:val="0B8E3A06"/>
    <w:rsid w:val="0B94665C"/>
    <w:rsid w:val="0B964EC9"/>
    <w:rsid w:val="0B9B3CCE"/>
    <w:rsid w:val="0B9D5FFB"/>
    <w:rsid w:val="0BA62356"/>
    <w:rsid w:val="0BB91FA4"/>
    <w:rsid w:val="0BC71F3A"/>
    <w:rsid w:val="0BCF0D6E"/>
    <w:rsid w:val="0BDA2FAB"/>
    <w:rsid w:val="0BDD0790"/>
    <w:rsid w:val="0BDD4638"/>
    <w:rsid w:val="0BF033E0"/>
    <w:rsid w:val="0BF5093F"/>
    <w:rsid w:val="0C095932"/>
    <w:rsid w:val="0C0D7E74"/>
    <w:rsid w:val="0C0E77A3"/>
    <w:rsid w:val="0C154760"/>
    <w:rsid w:val="0C166DCE"/>
    <w:rsid w:val="0C371FE2"/>
    <w:rsid w:val="0C426E10"/>
    <w:rsid w:val="0C4358FB"/>
    <w:rsid w:val="0C58208C"/>
    <w:rsid w:val="0C593A85"/>
    <w:rsid w:val="0C6236CC"/>
    <w:rsid w:val="0C6658D4"/>
    <w:rsid w:val="0C6C00A7"/>
    <w:rsid w:val="0C6F3B75"/>
    <w:rsid w:val="0C7F1DC2"/>
    <w:rsid w:val="0C825B1D"/>
    <w:rsid w:val="0C87727B"/>
    <w:rsid w:val="0C8C56BB"/>
    <w:rsid w:val="0CA53F3A"/>
    <w:rsid w:val="0CA87886"/>
    <w:rsid w:val="0CAF57CC"/>
    <w:rsid w:val="0CB41A43"/>
    <w:rsid w:val="0CB952B6"/>
    <w:rsid w:val="0CBD53F9"/>
    <w:rsid w:val="0CC06DC6"/>
    <w:rsid w:val="0CC12374"/>
    <w:rsid w:val="0CCC52F8"/>
    <w:rsid w:val="0CD023D1"/>
    <w:rsid w:val="0CDA7707"/>
    <w:rsid w:val="0CDC30C8"/>
    <w:rsid w:val="0CE9136E"/>
    <w:rsid w:val="0CE94F94"/>
    <w:rsid w:val="0CEA050F"/>
    <w:rsid w:val="0CED067B"/>
    <w:rsid w:val="0CF72215"/>
    <w:rsid w:val="0CFC6488"/>
    <w:rsid w:val="0D004C93"/>
    <w:rsid w:val="0D1158BC"/>
    <w:rsid w:val="0D1D5BF4"/>
    <w:rsid w:val="0D2210AE"/>
    <w:rsid w:val="0D283592"/>
    <w:rsid w:val="0D290E15"/>
    <w:rsid w:val="0D2E7CDA"/>
    <w:rsid w:val="0D3161DB"/>
    <w:rsid w:val="0D38710E"/>
    <w:rsid w:val="0D3A5B22"/>
    <w:rsid w:val="0D3A63F7"/>
    <w:rsid w:val="0D3D1A44"/>
    <w:rsid w:val="0D443071"/>
    <w:rsid w:val="0D4A61F6"/>
    <w:rsid w:val="0D5A4C9D"/>
    <w:rsid w:val="0D5E127F"/>
    <w:rsid w:val="0D636535"/>
    <w:rsid w:val="0D652404"/>
    <w:rsid w:val="0D692839"/>
    <w:rsid w:val="0D7824BD"/>
    <w:rsid w:val="0D790005"/>
    <w:rsid w:val="0D793F75"/>
    <w:rsid w:val="0D8323B8"/>
    <w:rsid w:val="0D8D3FD0"/>
    <w:rsid w:val="0D941DD9"/>
    <w:rsid w:val="0D947DEF"/>
    <w:rsid w:val="0D9960F6"/>
    <w:rsid w:val="0D9B3836"/>
    <w:rsid w:val="0D9D017D"/>
    <w:rsid w:val="0DA0651A"/>
    <w:rsid w:val="0DAF57C7"/>
    <w:rsid w:val="0DB1600D"/>
    <w:rsid w:val="0DB5151F"/>
    <w:rsid w:val="0DB87064"/>
    <w:rsid w:val="0DC23414"/>
    <w:rsid w:val="0DC45258"/>
    <w:rsid w:val="0DD37D4F"/>
    <w:rsid w:val="0DF20A80"/>
    <w:rsid w:val="0E0974BC"/>
    <w:rsid w:val="0E0D58BA"/>
    <w:rsid w:val="0E105F97"/>
    <w:rsid w:val="0E117299"/>
    <w:rsid w:val="0E1D4C94"/>
    <w:rsid w:val="0E1E01D2"/>
    <w:rsid w:val="0E237ECF"/>
    <w:rsid w:val="0E2576AF"/>
    <w:rsid w:val="0E29601F"/>
    <w:rsid w:val="0E2A646C"/>
    <w:rsid w:val="0E2C57A6"/>
    <w:rsid w:val="0E3B4AAC"/>
    <w:rsid w:val="0E406DCA"/>
    <w:rsid w:val="0E444E25"/>
    <w:rsid w:val="0E4528EE"/>
    <w:rsid w:val="0E463F6A"/>
    <w:rsid w:val="0E4E095A"/>
    <w:rsid w:val="0E511B01"/>
    <w:rsid w:val="0E533A22"/>
    <w:rsid w:val="0E5400D2"/>
    <w:rsid w:val="0E5852DB"/>
    <w:rsid w:val="0E5D50FC"/>
    <w:rsid w:val="0E5E0B3E"/>
    <w:rsid w:val="0E63197E"/>
    <w:rsid w:val="0E676C43"/>
    <w:rsid w:val="0E6E07F5"/>
    <w:rsid w:val="0E7E2314"/>
    <w:rsid w:val="0E80608C"/>
    <w:rsid w:val="0E8D2FCC"/>
    <w:rsid w:val="0E9658AF"/>
    <w:rsid w:val="0E9944EA"/>
    <w:rsid w:val="0EA0228A"/>
    <w:rsid w:val="0EA578A0"/>
    <w:rsid w:val="0EB331E4"/>
    <w:rsid w:val="0EB5186D"/>
    <w:rsid w:val="0EBA7291"/>
    <w:rsid w:val="0EC73CBB"/>
    <w:rsid w:val="0ED45063"/>
    <w:rsid w:val="0EDA6C49"/>
    <w:rsid w:val="0EE00334"/>
    <w:rsid w:val="0EEC54CF"/>
    <w:rsid w:val="0F090320"/>
    <w:rsid w:val="0F296FB7"/>
    <w:rsid w:val="0F2C1D70"/>
    <w:rsid w:val="0F2D4847"/>
    <w:rsid w:val="0F3A26DF"/>
    <w:rsid w:val="0F3B6457"/>
    <w:rsid w:val="0F3E4FBF"/>
    <w:rsid w:val="0F4277E5"/>
    <w:rsid w:val="0F451083"/>
    <w:rsid w:val="0F4527B9"/>
    <w:rsid w:val="0F503CB0"/>
    <w:rsid w:val="0F552295"/>
    <w:rsid w:val="0F555D3E"/>
    <w:rsid w:val="0F68165A"/>
    <w:rsid w:val="0F7331B1"/>
    <w:rsid w:val="0F790888"/>
    <w:rsid w:val="0F830CF9"/>
    <w:rsid w:val="0F8807D3"/>
    <w:rsid w:val="0F961643"/>
    <w:rsid w:val="0F985025"/>
    <w:rsid w:val="0F993EA0"/>
    <w:rsid w:val="0FA715B7"/>
    <w:rsid w:val="0FA8483D"/>
    <w:rsid w:val="0FAB0735"/>
    <w:rsid w:val="0FAB73CF"/>
    <w:rsid w:val="0FB75ADD"/>
    <w:rsid w:val="0FBA136E"/>
    <w:rsid w:val="0FC67596"/>
    <w:rsid w:val="0FCB77DB"/>
    <w:rsid w:val="0FD0094D"/>
    <w:rsid w:val="0FD23538"/>
    <w:rsid w:val="0FEA7956"/>
    <w:rsid w:val="0FED54E5"/>
    <w:rsid w:val="0FF22FB9"/>
    <w:rsid w:val="0FF24D67"/>
    <w:rsid w:val="0FF2619D"/>
    <w:rsid w:val="0FF91388"/>
    <w:rsid w:val="10002E78"/>
    <w:rsid w:val="10051186"/>
    <w:rsid w:val="10082322"/>
    <w:rsid w:val="100A088B"/>
    <w:rsid w:val="101E557F"/>
    <w:rsid w:val="10206168"/>
    <w:rsid w:val="10220902"/>
    <w:rsid w:val="10251019"/>
    <w:rsid w:val="10262C63"/>
    <w:rsid w:val="102832C0"/>
    <w:rsid w:val="1030329B"/>
    <w:rsid w:val="103627B4"/>
    <w:rsid w:val="10476538"/>
    <w:rsid w:val="10495714"/>
    <w:rsid w:val="10496E27"/>
    <w:rsid w:val="107921C2"/>
    <w:rsid w:val="107A6B0B"/>
    <w:rsid w:val="107D4754"/>
    <w:rsid w:val="107E07FE"/>
    <w:rsid w:val="10805044"/>
    <w:rsid w:val="108654B0"/>
    <w:rsid w:val="108A45AA"/>
    <w:rsid w:val="108B5C75"/>
    <w:rsid w:val="1090632E"/>
    <w:rsid w:val="10927871"/>
    <w:rsid w:val="109B2457"/>
    <w:rsid w:val="10A80202"/>
    <w:rsid w:val="10A86948"/>
    <w:rsid w:val="10A91F3A"/>
    <w:rsid w:val="10BD4B6E"/>
    <w:rsid w:val="10C05016"/>
    <w:rsid w:val="10CF50A9"/>
    <w:rsid w:val="10DC5341"/>
    <w:rsid w:val="10DC5DE2"/>
    <w:rsid w:val="10DE77F2"/>
    <w:rsid w:val="10E55858"/>
    <w:rsid w:val="10E8122E"/>
    <w:rsid w:val="10F16B8E"/>
    <w:rsid w:val="10F973AA"/>
    <w:rsid w:val="11002024"/>
    <w:rsid w:val="1101215E"/>
    <w:rsid w:val="1107086A"/>
    <w:rsid w:val="110C00AB"/>
    <w:rsid w:val="112673D2"/>
    <w:rsid w:val="11272A81"/>
    <w:rsid w:val="11323E5A"/>
    <w:rsid w:val="11343C71"/>
    <w:rsid w:val="1140061F"/>
    <w:rsid w:val="11420D5D"/>
    <w:rsid w:val="11511756"/>
    <w:rsid w:val="1153261A"/>
    <w:rsid w:val="11596BD4"/>
    <w:rsid w:val="115C10B1"/>
    <w:rsid w:val="11623F3F"/>
    <w:rsid w:val="1166278E"/>
    <w:rsid w:val="116A6B7F"/>
    <w:rsid w:val="116E041E"/>
    <w:rsid w:val="118151C6"/>
    <w:rsid w:val="11871BD0"/>
    <w:rsid w:val="11920286"/>
    <w:rsid w:val="119F4A7B"/>
    <w:rsid w:val="11A3453B"/>
    <w:rsid w:val="11AF7CCD"/>
    <w:rsid w:val="11B11E05"/>
    <w:rsid w:val="11B13A44"/>
    <w:rsid w:val="11B64B9D"/>
    <w:rsid w:val="11C34C5A"/>
    <w:rsid w:val="11CE54FA"/>
    <w:rsid w:val="11D64215"/>
    <w:rsid w:val="11D7281B"/>
    <w:rsid w:val="11D93657"/>
    <w:rsid w:val="11DD37F5"/>
    <w:rsid w:val="11DD55A3"/>
    <w:rsid w:val="11E46932"/>
    <w:rsid w:val="11E62926"/>
    <w:rsid w:val="11E7019B"/>
    <w:rsid w:val="12041F1C"/>
    <w:rsid w:val="120C30E2"/>
    <w:rsid w:val="121D1E44"/>
    <w:rsid w:val="124675EC"/>
    <w:rsid w:val="12483364"/>
    <w:rsid w:val="12486EC1"/>
    <w:rsid w:val="125C1D36"/>
    <w:rsid w:val="125D03B5"/>
    <w:rsid w:val="126F4111"/>
    <w:rsid w:val="126F5ED9"/>
    <w:rsid w:val="128A25F6"/>
    <w:rsid w:val="128B7C0F"/>
    <w:rsid w:val="1299328B"/>
    <w:rsid w:val="12A04B9A"/>
    <w:rsid w:val="12A30DA6"/>
    <w:rsid w:val="12B50BED"/>
    <w:rsid w:val="12C23A7C"/>
    <w:rsid w:val="12C32F26"/>
    <w:rsid w:val="12C6156A"/>
    <w:rsid w:val="12CA4DA3"/>
    <w:rsid w:val="12D20E80"/>
    <w:rsid w:val="12D37006"/>
    <w:rsid w:val="12D919C1"/>
    <w:rsid w:val="12DB0CB5"/>
    <w:rsid w:val="12E61CD4"/>
    <w:rsid w:val="12E94BA8"/>
    <w:rsid w:val="12F55F70"/>
    <w:rsid w:val="13021765"/>
    <w:rsid w:val="1304111F"/>
    <w:rsid w:val="130848A2"/>
    <w:rsid w:val="130A3353"/>
    <w:rsid w:val="130B7334"/>
    <w:rsid w:val="130C6140"/>
    <w:rsid w:val="13197966"/>
    <w:rsid w:val="131B0C66"/>
    <w:rsid w:val="131B3CEF"/>
    <w:rsid w:val="13207E3D"/>
    <w:rsid w:val="13322452"/>
    <w:rsid w:val="13380869"/>
    <w:rsid w:val="13525B1D"/>
    <w:rsid w:val="135C15A5"/>
    <w:rsid w:val="136B30DD"/>
    <w:rsid w:val="13755EB2"/>
    <w:rsid w:val="13800B97"/>
    <w:rsid w:val="13873A19"/>
    <w:rsid w:val="13877DCB"/>
    <w:rsid w:val="13881341"/>
    <w:rsid w:val="13887B1A"/>
    <w:rsid w:val="13904FC3"/>
    <w:rsid w:val="139F2E5E"/>
    <w:rsid w:val="13A04ADA"/>
    <w:rsid w:val="13A23B9A"/>
    <w:rsid w:val="13A35911"/>
    <w:rsid w:val="13A47BFE"/>
    <w:rsid w:val="13A646F2"/>
    <w:rsid w:val="13A75E69"/>
    <w:rsid w:val="13AD2096"/>
    <w:rsid w:val="13AE0DA1"/>
    <w:rsid w:val="13B773EB"/>
    <w:rsid w:val="13C4002F"/>
    <w:rsid w:val="13C63319"/>
    <w:rsid w:val="13C7475D"/>
    <w:rsid w:val="13E67824"/>
    <w:rsid w:val="13ED6898"/>
    <w:rsid w:val="140137CB"/>
    <w:rsid w:val="14063E97"/>
    <w:rsid w:val="14166484"/>
    <w:rsid w:val="14171240"/>
    <w:rsid w:val="14197E9B"/>
    <w:rsid w:val="14242A9B"/>
    <w:rsid w:val="14293FDD"/>
    <w:rsid w:val="142B4770"/>
    <w:rsid w:val="143105E6"/>
    <w:rsid w:val="1432607A"/>
    <w:rsid w:val="14335E33"/>
    <w:rsid w:val="144E2788"/>
    <w:rsid w:val="144F3B92"/>
    <w:rsid w:val="145D7218"/>
    <w:rsid w:val="145E21A7"/>
    <w:rsid w:val="14663754"/>
    <w:rsid w:val="146D0E60"/>
    <w:rsid w:val="146E2242"/>
    <w:rsid w:val="1470604A"/>
    <w:rsid w:val="1479294C"/>
    <w:rsid w:val="147C10A3"/>
    <w:rsid w:val="148037BC"/>
    <w:rsid w:val="14857BC8"/>
    <w:rsid w:val="148A09EC"/>
    <w:rsid w:val="148E0DD7"/>
    <w:rsid w:val="14960E91"/>
    <w:rsid w:val="149E54BE"/>
    <w:rsid w:val="14A979BF"/>
    <w:rsid w:val="14B4083D"/>
    <w:rsid w:val="14BE3BD0"/>
    <w:rsid w:val="14C03686"/>
    <w:rsid w:val="14C67D10"/>
    <w:rsid w:val="14CA2C11"/>
    <w:rsid w:val="14CB202B"/>
    <w:rsid w:val="14CF2CA5"/>
    <w:rsid w:val="14D4721A"/>
    <w:rsid w:val="14D53920"/>
    <w:rsid w:val="14D94748"/>
    <w:rsid w:val="14DB226E"/>
    <w:rsid w:val="14DE3402"/>
    <w:rsid w:val="14E36FB1"/>
    <w:rsid w:val="14E60E10"/>
    <w:rsid w:val="14E813D5"/>
    <w:rsid w:val="14ED7840"/>
    <w:rsid w:val="14F71157"/>
    <w:rsid w:val="15072773"/>
    <w:rsid w:val="15127C5A"/>
    <w:rsid w:val="151D60E3"/>
    <w:rsid w:val="152165F3"/>
    <w:rsid w:val="1530340C"/>
    <w:rsid w:val="1537321C"/>
    <w:rsid w:val="15443470"/>
    <w:rsid w:val="154D2A40"/>
    <w:rsid w:val="154F09D4"/>
    <w:rsid w:val="155A6AAB"/>
    <w:rsid w:val="155B6F0B"/>
    <w:rsid w:val="155D44F6"/>
    <w:rsid w:val="1568195A"/>
    <w:rsid w:val="156825AE"/>
    <w:rsid w:val="156D789C"/>
    <w:rsid w:val="157648A9"/>
    <w:rsid w:val="157B7989"/>
    <w:rsid w:val="157D25F1"/>
    <w:rsid w:val="158013B3"/>
    <w:rsid w:val="15895A18"/>
    <w:rsid w:val="15897466"/>
    <w:rsid w:val="159266A5"/>
    <w:rsid w:val="159D2AA8"/>
    <w:rsid w:val="15BC3A0F"/>
    <w:rsid w:val="15BF05AC"/>
    <w:rsid w:val="15CF3C06"/>
    <w:rsid w:val="15CF6FF0"/>
    <w:rsid w:val="15D62A35"/>
    <w:rsid w:val="15E044A0"/>
    <w:rsid w:val="15E40909"/>
    <w:rsid w:val="15E72E94"/>
    <w:rsid w:val="15EF3AF7"/>
    <w:rsid w:val="15F32BDF"/>
    <w:rsid w:val="15F95FB4"/>
    <w:rsid w:val="15F97B47"/>
    <w:rsid w:val="16071DD9"/>
    <w:rsid w:val="1609105D"/>
    <w:rsid w:val="160C5D02"/>
    <w:rsid w:val="16184098"/>
    <w:rsid w:val="161F7166"/>
    <w:rsid w:val="162426FB"/>
    <w:rsid w:val="16290D5F"/>
    <w:rsid w:val="162C4C37"/>
    <w:rsid w:val="163409FD"/>
    <w:rsid w:val="163F05DA"/>
    <w:rsid w:val="164925E6"/>
    <w:rsid w:val="1653052A"/>
    <w:rsid w:val="16564ED8"/>
    <w:rsid w:val="166556E6"/>
    <w:rsid w:val="16695F27"/>
    <w:rsid w:val="166B2C03"/>
    <w:rsid w:val="166B2D98"/>
    <w:rsid w:val="167A093E"/>
    <w:rsid w:val="167E6CA3"/>
    <w:rsid w:val="167F4B95"/>
    <w:rsid w:val="169327D0"/>
    <w:rsid w:val="169D0E74"/>
    <w:rsid w:val="16A0455F"/>
    <w:rsid w:val="16A25BC1"/>
    <w:rsid w:val="16AB4CC3"/>
    <w:rsid w:val="16B07BAF"/>
    <w:rsid w:val="16BC7E7D"/>
    <w:rsid w:val="16BD04E5"/>
    <w:rsid w:val="16C419E8"/>
    <w:rsid w:val="16D1700E"/>
    <w:rsid w:val="16DA045E"/>
    <w:rsid w:val="16E21427"/>
    <w:rsid w:val="16E57675"/>
    <w:rsid w:val="16E66CA8"/>
    <w:rsid w:val="16EB53B1"/>
    <w:rsid w:val="17033117"/>
    <w:rsid w:val="170535D2"/>
    <w:rsid w:val="170A61ED"/>
    <w:rsid w:val="170C6A21"/>
    <w:rsid w:val="170C751B"/>
    <w:rsid w:val="1711641B"/>
    <w:rsid w:val="17166620"/>
    <w:rsid w:val="17174AB2"/>
    <w:rsid w:val="172B1C15"/>
    <w:rsid w:val="172F59B8"/>
    <w:rsid w:val="173C59AC"/>
    <w:rsid w:val="173E4D36"/>
    <w:rsid w:val="173F20E2"/>
    <w:rsid w:val="174D4F79"/>
    <w:rsid w:val="175D4AA9"/>
    <w:rsid w:val="17606A5A"/>
    <w:rsid w:val="17740853"/>
    <w:rsid w:val="177F62FA"/>
    <w:rsid w:val="1780009A"/>
    <w:rsid w:val="178E0BAF"/>
    <w:rsid w:val="1791130A"/>
    <w:rsid w:val="17987B34"/>
    <w:rsid w:val="17990FA9"/>
    <w:rsid w:val="17A10E21"/>
    <w:rsid w:val="17B60D70"/>
    <w:rsid w:val="17C214C3"/>
    <w:rsid w:val="17C271C7"/>
    <w:rsid w:val="17D7619A"/>
    <w:rsid w:val="17DE3FD2"/>
    <w:rsid w:val="17E21B65"/>
    <w:rsid w:val="17E25684"/>
    <w:rsid w:val="17EC02EE"/>
    <w:rsid w:val="17F3167D"/>
    <w:rsid w:val="17F51899"/>
    <w:rsid w:val="17FA253A"/>
    <w:rsid w:val="18071145"/>
    <w:rsid w:val="180D1861"/>
    <w:rsid w:val="1824021D"/>
    <w:rsid w:val="182727AA"/>
    <w:rsid w:val="182A0E16"/>
    <w:rsid w:val="182C3C1D"/>
    <w:rsid w:val="182E4DAB"/>
    <w:rsid w:val="183737F8"/>
    <w:rsid w:val="18424965"/>
    <w:rsid w:val="18527BEC"/>
    <w:rsid w:val="185D48BA"/>
    <w:rsid w:val="18690252"/>
    <w:rsid w:val="1869361C"/>
    <w:rsid w:val="186A253C"/>
    <w:rsid w:val="187327BD"/>
    <w:rsid w:val="187602DD"/>
    <w:rsid w:val="18764A71"/>
    <w:rsid w:val="18782953"/>
    <w:rsid w:val="187D11D8"/>
    <w:rsid w:val="18851020"/>
    <w:rsid w:val="188651E4"/>
    <w:rsid w:val="188C387F"/>
    <w:rsid w:val="1890511D"/>
    <w:rsid w:val="18921538"/>
    <w:rsid w:val="189E12C3"/>
    <w:rsid w:val="189E32A4"/>
    <w:rsid w:val="189E6C73"/>
    <w:rsid w:val="18A64941"/>
    <w:rsid w:val="18AC4201"/>
    <w:rsid w:val="18B47A70"/>
    <w:rsid w:val="18BD055D"/>
    <w:rsid w:val="18BE1FCB"/>
    <w:rsid w:val="18C04A46"/>
    <w:rsid w:val="18C4037B"/>
    <w:rsid w:val="18C748B7"/>
    <w:rsid w:val="18D72014"/>
    <w:rsid w:val="18D764B0"/>
    <w:rsid w:val="18D92B7A"/>
    <w:rsid w:val="18DA0A8E"/>
    <w:rsid w:val="18E303F6"/>
    <w:rsid w:val="18FF308F"/>
    <w:rsid w:val="19094ED0"/>
    <w:rsid w:val="190A1374"/>
    <w:rsid w:val="19263C11"/>
    <w:rsid w:val="19351878"/>
    <w:rsid w:val="19364034"/>
    <w:rsid w:val="193D5EB3"/>
    <w:rsid w:val="1940240E"/>
    <w:rsid w:val="194B6D06"/>
    <w:rsid w:val="194F0096"/>
    <w:rsid w:val="19580F07"/>
    <w:rsid w:val="19605FFF"/>
    <w:rsid w:val="196842EC"/>
    <w:rsid w:val="196C060A"/>
    <w:rsid w:val="196E66EE"/>
    <w:rsid w:val="197226D6"/>
    <w:rsid w:val="197B045A"/>
    <w:rsid w:val="197D1E58"/>
    <w:rsid w:val="19911370"/>
    <w:rsid w:val="19981B0B"/>
    <w:rsid w:val="19A57A33"/>
    <w:rsid w:val="19A60597"/>
    <w:rsid w:val="19A748CE"/>
    <w:rsid w:val="19B53F29"/>
    <w:rsid w:val="19B72B7E"/>
    <w:rsid w:val="19BB4AC7"/>
    <w:rsid w:val="19C257AA"/>
    <w:rsid w:val="19DE010A"/>
    <w:rsid w:val="19ED1019"/>
    <w:rsid w:val="19F30FD0"/>
    <w:rsid w:val="19FC580C"/>
    <w:rsid w:val="1A084634"/>
    <w:rsid w:val="1A0931E6"/>
    <w:rsid w:val="1A0933D9"/>
    <w:rsid w:val="1A0B22C7"/>
    <w:rsid w:val="1A107534"/>
    <w:rsid w:val="1A165AF6"/>
    <w:rsid w:val="1A1B26CF"/>
    <w:rsid w:val="1A1D39FB"/>
    <w:rsid w:val="1A240213"/>
    <w:rsid w:val="1A275744"/>
    <w:rsid w:val="1A2C6661"/>
    <w:rsid w:val="1A332694"/>
    <w:rsid w:val="1A33410B"/>
    <w:rsid w:val="1A3D4066"/>
    <w:rsid w:val="1A422421"/>
    <w:rsid w:val="1A454BBD"/>
    <w:rsid w:val="1A50247D"/>
    <w:rsid w:val="1A5605E9"/>
    <w:rsid w:val="1A5846A0"/>
    <w:rsid w:val="1A5B75BD"/>
    <w:rsid w:val="1A5C1E8C"/>
    <w:rsid w:val="1A5F4086"/>
    <w:rsid w:val="1A684E92"/>
    <w:rsid w:val="1A8A4647"/>
    <w:rsid w:val="1A9609E5"/>
    <w:rsid w:val="1A9723B6"/>
    <w:rsid w:val="1A984C5D"/>
    <w:rsid w:val="1AA34AA6"/>
    <w:rsid w:val="1AA83ACA"/>
    <w:rsid w:val="1AA93183"/>
    <w:rsid w:val="1AAC781B"/>
    <w:rsid w:val="1AB44A07"/>
    <w:rsid w:val="1AB803AE"/>
    <w:rsid w:val="1AB927E6"/>
    <w:rsid w:val="1AC75042"/>
    <w:rsid w:val="1AC90DBB"/>
    <w:rsid w:val="1AD41623"/>
    <w:rsid w:val="1ADA1B4E"/>
    <w:rsid w:val="1AED05E1"/>
    <w:rsid w:val="1AF00F47"/>
    <w:rsid w:val="1AF046CF"/>
    <w:rsid w:val="1AF16568"/>
    <w:rsid w:val="1AFF658A"/>
    <w:rsid w:val="1B040045"/>
    <w:rsid w:val="1B074284"/>
    <w:rsid w:val="1B143739"/>
    <w:rsid w:val="1B21661A"/>
    <w:rsid w:val="1B24725D"/>
    <w:rsid w:val="1B2B048F"/>
    <w:rsid w:val="1B301CAE"/>
    <w:rsid w:val="1B44289D"/>
    <w:rsid w:val="1B4A2D9D"/>
    <w:rsid w:val="1B4D4C2F"/>
    <w:rsid w:val="1B4F12C0"/>
    <w:rsid w:val="1B5752AC"/>
    <w:rsid w:val="1B5E72DC"/>
    <w:rsid w:val="1B67625B"/>
    <w:rsid w:val="1B6B043B"/>
    <w:rsid w:val="1B6B336B"/>
    <w:rsid w:val="1B6D18C5"/>
    <w:rsid w:val="1B6E424D"/>
    <w:rsid w:val="1B711A26"/>
    <w:rsid w:val="1B7806C8"/>
    <w:rsid w:val="1B863F0D"/>
    <w:rsid w:val="1B9369D7"/>
    <w:rsid w:val="1B9534FE"/>
    <w:rsid w:val="1B9E5564"/>
    <w:rsid w:val="1BAF5377"/>
    <w:rsid w:val="1BB15F13"/>
    <w:rsid w:val="1BB678D9"/>
    <w:rsid w:val="1BBF4AED"/>
    <w:rsid w:val="1BCB3B13"/>
    <w:rsid w:val="1BD97AB4"/>
    <w:rsid w:val="1BFA4214"/>
    <w:rsid w:val="1C071B9A"/>
    <w:rsid w:val="1C146D3D"/>
    <w:rsid w:val="1C19483C"/>
    <w:rsid w:val="1C1D13BE"/>
    <w:rsid w:val="1C213008"/>
    <w:rsid w:val="1C2C1382"/>
    <w:rsid w:val="1C347AE7"/>
    <w:rsid w:val="1C3709C2"/>
    <w:rsid w:val="1C3F5A29"/>
    <w:rsid w:val="1C5172BA"/>
    <w:rsid w:val="1C533032"/>
    <w:rsid w:val="1C6721B0"/>
    <w:rsid w:val="1C680DA8"/>
    <w:rsid w:val="1C6D2061"/>
    <w:rsid w:val="1C73352D"/>
    <w:rsid w:val="1C7F0A0D"/>
    <w:rsid w:val="1C874A89"/>
    <w:rsid w:val="1C883EE2"/>
    <w:rsid w:val="1C8A5704"/>
    <w:rsid w:val="1C993644"/>
    <w:rsid w:val="1CA30814"/>
    <w:rsid w:val="1CA40989"/>
    <w:rsid w:val="1CA411B8"/>
    <w:rsid w:val="1CA91C58"/>
    <w:rsid w:val="1CAE2016"/>
    <w:rsid w:val="1CAE730B"/>
    <w:rsid w:val="1CB64E6F"/>
    <w:rsid w:val="1CBC0BD7"/>
    <w:rsid w:val="1CD001DE"/>
    <w:rsid w:val="1CD11261"/>
    <w:rsid w:val="1CD6156D"/>
    <w:rsid w:val="1CE211FC"/>
    <w:rsid w:val="1CE974F2"/>
    <w:rsid w:val="1CF333E6"/>
    <w:rsid w:val="1CF87735"/>
    <w:rsid w:val="1CFF0AC4"/>
    <w:rsid w:val="1D0565E2"/>
    <w:rsid w:val="1D1C5DA2"/>
    <w:rsid w:val="1D2122A1"/>
    <w:rsid w:val="1D2357FD"/>
    <w:rsid w:val="1D2D51F1"/>
    <w:rsid w:val="1D300C7D"/>
    <w:rsid w:val="1D3249F5"/>
    <w:rsid w:val="1D37486F"/>
    <w:rsid w:val="1D42071E"/>
    <w:rsid w:val="1D4856D1"/>
    <w:rsid w:val="1D4C2B5B"/>
    <w:rsid w:val="1D4D24F3"/>
    <w:rsid w:val="1D6257AE"/>
    <w:rsid w:val="1D677324"/>
    <w:rsid w:val="1D6E2D29"/>
    <w:rsid w:val="1D782040"/>
    <w:rsid w:val="1D880AB9"/>
    <w:rsid w:val="1D8C6A7E"/>
    <w:rsid w:val="1D8E167F"/>
    <w:rsid w:val="1D90796E"/>
    <w:rsid w:val="1D9531D6"/>
    <w:rsid w:val="1D9778CB"/>
    <w:rsid w:val="1DAC0C4B"/>
    <w:rsid w:val="1DAF4FB1"/>
    <w:rsid w:val="1DB01D77"/>
    <w:rsid w:val="1DB95872"/>
    <w:rsid w:val="1DBD7240"/>
    <w:rsid w:val="1DC07134"/>
    <w:rsid w:val="1DC15568"/>
    <w:rsid w:val="1DC77F7C"/>
    <w:rsid w:val="1DCE2AB1"/>
    <w:rsid w:val="1DD0335C"/>
    <w:rsid w:val="1DD51824"/>
    <w:rsid w:val="1DD620D3"/>
    <w:rsid w:val="1DD65CC8"/>
    <w:rsid w:val="1DD7570D"/>
    <w:rsid w:val="1DDE1182"/>
    <w:rsid w:val="1DDE2DCF"/>
    <w:rsid w:val="1DE5415D"/>
    <w:rsid w:val="1DED6B6E"/>
    <w:rsid w:val="1DF0665E"/>
    <w:rsid w:val="1DF8224F"/>
    <w:rsid w:val="1DFC3B16"/>
    <w:rsid w:val="1E071D72"/>
    <w:rsid w:val="1E1171BA"/>
    <w:rsid w:val="1E125CB7"/>
    <w:rsid w:val="1E1E21E7"/>
    <w:rsid w:val="1E2566DA"/>
    <w:rsid w:val="1E2D48C4"/>
    <w:rsid w:val="1E32366D"/>
    <w:rsid w:val="1E36628C"/>
    <w:rsid w:val="1E3B46CC"/>
    <w:rsid w:val="1E510853"/>
    <w:rsid w:val="1E57604D"/>
    <w:rsid w:val="1E5C66B3"/>
    <w:rsid w:val="1E635018"/>
    <w:rsid w:val="1E656782"/>
    <w:rsid w:val="1E814CED"/>
    <w:rsid w:val="1E8469F9"/>
    <w:rsid w:val="1E92658B"/>
    <w:rsid w:val="1E9C5B42"/>
    <w:rsid w:val="1E9C5BFF"/>
    <w:rsid w:val="1EA53511"/>
    <w:rsid w:val="1EA672D8"/>
    <w:rsid w:val="1ECA0E48"/>
    <w:rsid w:val="1ECC3FFD"/>
    <w:rsid w:val="1ED2384F"/>
    <w:rsid w:val="1ED9232C"/>
    <w:rsid w:val="1EDD43FA"/>
    <w:rsid w:val="1EDF476D"/>
    <w:rsid w:val="1EE241F9"/>
    <w:rsid w:val="1EEA697A"/>
    <w:rsid w:val="1EEC0C5C"/>
    <w:rsid w:val="1EF142E2"/>
    <w:rsid w:val="1F176E60"/>
    <w:rsid w:val="1F1A3993"/>
    <w:rsid w:val="1F37018C"/>
    <w:rsid w:val="1F447B60"/>
    <w:rsid w:val="1F455558"/>
    <w:rsid w:val="1F494278"/>
    <w:rsid w:val="1F4C1597"/>
    <w:rsid w:val="1F51433D"/>
    <w:rsid w:val="1F5500CB"/>
    <w:rsid w:val="1F5B5AF9"/>
    <w:rsid w:val="1F7574A3"/>
    <w:rsid w:val="1F7C2691"/>
    <w:rsid w:val="1F83778A"/>
    <w:rsid w:val="1F9A340A"/>
    <w:rsid w:val="1FA24F7F"/>
    <w:rsid w:val="1FB26162"/>
    <w:rsid w:val="1FB31A5F"/>
    <w:rsid w:val="1FB75686"/>
    <w:rsid w:val="1FC20797"/>
    <w:rsid w:val="1FC97C87"/>
    <w:rsid w:val="1FCC023A"/>
    <w:rsid w:val="1FD47FE6"/>
    <w:rsid w:val="1FDE3F49"/>
    <w:rsid w:val="1FE933AA"/>
    <w:rsid w:val="1FEA1406"/>
    <w:rsid w:val="1FF468DA"/>
    <w:rsid w:val="1FF94A2D"/>
    <w:rsid w:val="2000330E"/>
    <w:rsid w:val="200B0D0C"/>
    <w:rsid w:val="201051B9"/>
    <w:rsid w:val="201120ED"/>
    <w:rsid w:val="20191A25"/>
    <w:rsid w:val="20280331"/>
    <w:rsid w:val="202D1DEC"/>
    <w:rsid w:val="2040794E"/>
    <w:rsid w:val="20460DDC"/>
    <w:rsid w:val="20460ED9"/>
    <w:rsid w:val="204D6F6C"/>
    <w:rsid w:val="20506C8E"/>
    <w:rsid w:val="205E01F7"/>
    <w:rsid w:val="2064368A"/>
    <w:rsid w:val="20740980"/>
    <w:rsid w:val="207D5D6C"/>
    <w:rsid w:val="207F43D9"/>
    <w:rsid w:val="20875058"/>
    <w:rsid w:val="20906E82"/>
    <w:rsid w:val="209128E5"/>
    <w:rsid w:val="209459C7"/>
    <w:rsid w:val="20980390"/>
    <w:rsid w:val="209F1645"/>
    <w:rsid w:val="20A84AFD"/>
    <w:rsid w:val="20A976C4"/>
    <w:rsid w:val="20B336D0"/>
    <w:rsid w:val="20B41FC9"/>
    <w:rsid w:val="20B707BB"/>
    <w:rsid w:val="20B91E5B"/>
    <w:rsid w:val="20BF0C96"/>
    <w:rsid w:val="20C04A0E"/>
    <w:rsid w:val="20C106E3"/>
    <w:rsid w:val="20DA452F"/>
    <w:rsid w:val="20E40D06"/>
    <w:rsid w:val="20E70DDA"/>
    <w:rsid w:val="20EE157B"/>
    <w:rsid w:val="20EE5292"/>
    <w:rsid w:val="20EE7A98"/>
    <w:rsid w:val="20F012DA"/>
    <w:rsid w:val="20F91B22"/>
    <w:rsid w:val="20FB0C58"/>
    <w:rsid w:val="2102118F"/>
    <w:rsid w:val="21042B4C"/>
    <w:rsid w:val="210643F0"/>
    <w:rsid w:val="210A7A37"/>
    <w:rsid w:val="21126A1E"/>
    <w:rsid w:val="211A3117"/>
    <w:rsid w:val="211D6ED8"/>
    <w:rsid w:val="21224D81"/>
    <w:rsid w:val="21365E4F"/>
    <w:rsid w:val="21432762"/>
    <w:rsid w:val="214418B5"/>
    <w:rsid w:val="215F5D66"/>
    <w:rsid w:val="216A0307"/>
    <w:rsid w:val="217B299D"/>
    <w:rsid w:val="219B228D"/>
    <w:rsid w:val="219C7087"/>
    <w:rsid w:val="219D2205"/>
    <w:rsid w:val="219F5A6F"/>
    <w:rsid w:val="21A2770F"/>
    <w:rsid w:val="21A72E05"/>
    <w:rsid w:val="21AF4DC3"/>
    <w:rsid w:val="21B75E11"/>
    <w:rsid w:val="21C06F92"/>
    <w:rsid w:val="21C34A4E"/>
    <w:rsid w:val="21C84E9E"/>
    <w:rsid w:val="21CA5B44"/>
    <w:rsid w:val="21CB5CF6"/>
    <w:rsid w:val="21D17902"/>
    <w:rsid w:val="21E22287"/>
    <w:rsid w:val="21E5632B"/>
    <w:rsid w:val="21EB7868"/>
    <w:rsid w:val="21F143E4"/>
    <w:rsid w:val="21F15A4A"/>
    <w:rsid w:val="21F718D2"/>
    <w:rsid w:val="220643AF"/>
    <w:rsid w:val="22077889"/>
    <w:rsid w:val="220821C8"/>
    <w:rsid w:val="22104944"/>
    <w:rsid w:val="22121D33"/>
    <w:rsid w:val="22131A27"/>
    <w:rsid w:val="22131E5F"/>
    <w:rsid w:val="2225695B"/>
    <w:rsid w:val="222B4A26"/>
    <w:rsid w:val="2230171F"/>
    <w:rsid w:val="224C1EE4"/>
    <w:rsid w:val="224E5006"/>
    <w:rsid w:val="22507E1C"/>
    <w:rsid w:val="225F71CC"/>
    <w:rsid w:val="226E0F46"/>
    <w:rsid w:val="22712CF4"/>
    <w:rsid w:val="22894FBA"/>
    <w:rsid w:val="228B7D1B"/>
    <w:rsid w:val="22993411"/>
    <w:rsid w:val="229E0D7F"/>
    <w:rsid w:val="22A31EF1"/>
    <w:rsid w:val="22A3753B"/>
    <w:rsid w:val="22A627B6"/>
    <w:rsid w:val="22B83FDE"/>
    <w:rsid w:val="22B8599C"/>
    <w:rsid w:val="22BB1853"/>
    <w:rsid w:val="22C2681B"/>
    <w:rsid w:val="22C41C6A"/>
    <w:rsid w:val="22C81958"/>
    <w:rsid w:val="22DB78DD"/>
    <w:rsid w:val="22E551F2"/>
    <w:rsid w:val="22EE7034"/>
    <w:rsid w:val="22F20146"/>
    <w:rsid w:val="22F774F6"/>
    <w:rsid w:val="22FD1499"/>
    <w:rsid w:val="22FD46BD"/>
    <w:rsid w:val="230F132C"/>
    <w:rsid w:val="231057D9"/>
    <w:rsid w:val="23153857"/>
    <w:rsid w:val="231B17F9"/>
    <w:rsid w:val="23216DFA"/>
    <w:rsid w:val="233A304E"/>
    <w:rsid w:val="23443D7D"/>
    <w:rsid w:val="234C3FAD"/>
    <w:rsid w:val="234F1862"/>
    <w:rsid w:val="235511EA"/>
    <w:rsid w:val="235D02F2"/>
    <w:rsid w:val="23614F48"/>
    <w:rsid w:val="23690609"/>
    <w:rsid w:val="237A3E4E"/>
    <w:rsid w:val="237E1230"/>
    <w:rsid w:val="238A29AB"/>
    <w:rsid w:val="238F40D9"/>
    <w:rsid w:val="23933508"/>
    <w:rsid w:val="239504D4"/>
    <w:rsid w:val="23950A3C"/>
    <w:rsid w:val="239A2125"/>
    <w:rsid w:val="239B5FC0"/>
    <w:rsid w:val="23A92C60"/>
    <w:rsid w:val="23AA0F3C"/>
    <w:rsid w:val="23B03FD9"/>
    <w:rsid w:val="23B714CC"/>
    <w:rsid w:val="23BA7F5A"/>
    <w:rsid w:val="23C13739"/>
    <w:rsid w:val="23CE2F9E"/>
    <w:rsid w:val="23DD1433"/>
    <w:rsid w:val="23E11DA2"/>
    <w:rsid w:val="23E235B0"/>
    <w:rsid w:val="23E66539"/>
    <w:rsid w:val="23F23130"/>
    <w:rsid w:val="23FF75FB"/>
    <w:rsid w:val="24044813"/>
    <w:rsid w:val="241646BB"/>
    <w:rsid w:val="2423153B"/>
    <w:rsid w:val="2423778D"/>
    <w:rsid w:val="242474A7"/>
    <w:rsid w:val="2428389C"/>
    <w:rsid w:val="2439617A"/>
    <w:rsid w:val="244520C9"/>
    <w:rsid w:val="245005B3"/>
    <w:rsid w:val="2455546D"/>
    <w:rsid w:val="245F0DC4"/>
    <w:rsid w:val="24661A7D"/>
    <w:rsid w:val="24693395"/>
    <w:rsid w:val="246C280E"/>
    <w:rsid w:val="247104F9"/>
    <w:rsid w:val="24734E74"/>
    <w:rsid w:val="24753BB1"/>
    <w:rsid w:val="24940315"/>
    <w:rsid w:val="249511E4"/>
    <w:rsid w:val="249604BE"/>
    <w:rsid w:val="24A31E88"/>
    <w:rsid w:val="24C504EE"/>
    <w:rsid w:val="24C76B9D"/>
    <w:rsid w:val="24CE37C5"/>
    <w:rsid w:val="24D14521"/>
    <w:rsid w:val="24D80578"/>
    <w:rsid w:val="24E164AF"/>
    <w:rsid w:val="24E37825"/>
    <w:rsid w:val="24E41B08"/>
    <w:rsid w:val="24E65466"/>
    <w:rsid w:val="24E944A8"/>
    <w:rsid w:val="24ED56A6"/>
    <w:rsid w:val="24F61130"/>
    <w:rsid w:val="24F96CA5"/>
    <w:rsid w:val="24FC5064"/>
    <w:rsid w:val="250B6C88"/>
    <w:rsid w:val="250D16FB"/>
    <w:rsid w:val="251A0B90"/>
    <w:rsid w:val="251B4A00"/>
    <w:rsid w:val="25207316"/>
    <w:rsid w:val="25207829"/>
    <w:rsid w:val="252348FA"/>
    <w:rsid w:val="252437BD"/>
    <w:rsid w:val="25280D33"/>
    <w:rsid w:val="252A5017"/>
    <w:rsid w:val="252C4420"/>
    <w:rsid w:val="25373204"/>
    <w:rsid w:val="253A1C68"/>
    <w:rsid w:val="253C7281"/>
    <w:rsid w:val="25564658"/>
    <w:rsid w:val="25585215"/>
    <w:rsid w:val="255A4BBE"/>
    <w:rsid w:val="255D101D"/>
    <w:rsid w:val="25603917"/>
    <w:rsid w:val="25627611"/>
    <w:rsid w:val="25636FED"/>
    <w:rsid w:val="25645A54"/>
    <w:rsid w:val="25772EBB"/>
    <w:rsid w:val="25832019"/>
    <w:rsid w:val="258C59D8"/>
    <w:rsid w:val="259331FE"/>
    <w:rsid w:val="25957FF8"/>
    <w:rsid w:val="259D545F"/>
    <w:rsid w:val="25A149AC"/>
    <w:rsid w:val="25AF3F32"/>
    <w:rsid w:val="25B14925"/>
    <w:rsid w:val="25B22A3B"/>
    <w:rsid w:val="25BA2D11"/>
    <w:rsid w:val="25C206E3"/>
    <w:rsid w:val="25C654B7"/>
    <w:rsid w:val="25D0124F"/>
    <w:rsid w:val="25D26FA5"/>
    <w:rsid w:val="25D97596"/>
    <w:rsid w:val="25E37902"/>
    <w:rsid w:val="25F044F9"/>
    <w:rsid w:val="25F74971"/>
    <w:rsid w:val="26040109"/>
    <w:rsid w:val="26061962"/>
    <w:rsid w:val="260F672F"/>
    <w:rsid w:val="26175540"/>
    <w:rsid w:val="261849A4"/>
    <w:rsid w:val="262C56B0"/>
    <w:rsid w:val="262F1527"/>
    <w:rsid w:val="263D0137"/>
    <w:rsid w:val="2642755C"/>
    <w:rsid w:val="264436A6"/>
    <w:rsid w:val="264E03C6"/>
    <w:rsid w:val="26507D69"/>
    <w:rsid w:val="26526108"/>
    <w:rsid w:val="26590788"/>
    <w:rsid w:val="265D1B10"/>
    <w:rsid w:val="26640280"/>
    <w:rsid w:val="266D04E0"/>
    <w:rsid w:val="267D0DD4"/>
    <w:rsid w:val="268A18BB"/>
    <w:rsid w:val="26900E65"/>
    <w:rsid w:val="269308F5"/>
    <w:rsid w:val="269B5762"/>
    <w:rsid w:val="269E35F2"/>
    <w:rsid w:val="26A0140A"/>
    <w:rsid w:val="26A24E49"/>
    <w:rsid w:val="26A4480F"/>
    <w:rsid w:val="26AB027E"/>
    <w:rsid w:val="26B47D7B"/>
    <w:rsid w:val="26B942D9"/>
    <w:rsid w:val="26BD3478"/>
    <w:rsid w:val="26C22583"/>
    <w:rsid w:val="26CA7DB2"/>
    <w:rsid w:val="26CB5BEC"/>
    <w:rsid w:val="26D17EE9"/>
    <w:rsid w:val="26D26B3A"/>
    <w:rsid w:val="26DB5397"/>
    <w:rsid w:val="26E70819"/>
    <w:rsid w:val="26EC030B"/>
    <w:rsid w:val="26ED2085"/>
    <w:rsid w:val="26F614FF"/>
    <w:rsid w:val="26FC7E22"/>
    <w:rsid w:val="270441E6"/>
    <w:rsid w:val="27085698"/>
    <w:rsid w:val="270C05A6"/>
    <w:rsid w:val="2722517B"/>
    <w:rsid w:val="2726309C"/>
    <w:rsid w:val="272916F4"/>
    <w:rsid w:val="27325E70"/>
    <w:rsid w:val="27326652"/>
    <w:rsid w:val="27341B93"/>
    <w:rsid w:val="27430D53"/>
    <w:rsid w:val="274912B9"/>
    <w:rsid w:val="274E2D73"/>
    <w:rsid w:val="27537702"/>
    <w:rsid w:val="27644968"/>
    <w:rsid w:val="2771098E"/>
    <w:rsid w:val="27752950"/>
    <w:rsid w:val="27803467"/>
    <w:rsid w:val="278422F1"/>
    <w:rsid w:val="278B23EE"/>
    <w:rsid w:val="278E13C2"/>
    <w:rsid w:val="278F0C96"/>
    <w:rsid w:val="27942DC6"/>
    <w:rsid w:val="279938C3"/>
    <w:rsid w:val="279A1B15"/>
    <w:rsid w:val="279C7ABE"/>
    <w:rsid w:val="27A46AC2"/>
    <w:rsid w:val="27A70952"/>
    <w:rsid w:val="27AD5EF5"/>
    <w:rsid w:val="27B52D32"/>
    <w:rsid w:val="27BD0EA7"/>
    <w:rsid w:val="27BF5A1F"/>
    <w:rsid w:val="27BF77CD"/>
    <w:rsid w:val="27C04AC9"/>
    <w:rsid w:val="27C22234"/>
    <w:rsid w:val="27D30046"/>
    <w:rsid w:val="27D4336A"/>
    <w:rsid w:val="27E15995"/>
    <w:rsid w:val="27E9484A"/>
    <w:rsid w:val="27E96CD0"/>
    <w:rsid w:val="27EF6F7C"/>
    <w:rsid w:val="27F60128"/>
    <w:rsid w:val="27FA6A57"/>
    <w:rsid w:val="27FC4245"/>
    <w:rsid w:val="28052561"/>
    <w:rsid w:val="28081174"/>
    <w:rsid w:val="28100970"/>
    <w:rsid w:val="28130FC3"/>
    <w:rsid w:val="28164F13"/>
    <w:rsid w:val="28180C8B"/>
    <w:rsid w:val="28185CCE"/>
    <w:rsid w:val="281A2308"/>
    <w:rsid w:val="28242AFE"/>
    <w:rsid w:val="28245882"/>
    <w:rsid w:val="282D4DA2"/>
    <w:rsid w:val="28383DE0"/>
    <w:rsid w:val="284763CA"/>
    <w:rsid w:val="28497097"/>
    <w:rsid w:val="284B72B3"/>
    <w:rsid w:val="284C1CF1"/>
    <w:rsid w:val="28500425"/>
    <w:rsid w:val="285259C3"/>
    <w:rsid w:val="286A1DF0"/>
    <w:rsid w:val="286F0F65"/>
    <w:rsid w:val="2874545C"/>
    <w:rsid w:val="28810C2F"/>
    <w:rsid w:val="28832153"/>
    <w:rsid w:val="288C402F"/>
    <w:rsid w:val="288F3C5D"/>
    <w:rsid w:val="289724F8"/>
    <w:rsid w:val="28A86D3D"/>
    <w:rsid w:val="28AB6575"/>
    <w:rsid w:val="28AF56E0"/>
    <w:rsid w:val="28BF2E88"/>
    <w:rsid w:val="28C50D1F"/>
    <w:rsid w:val="28CA5CB4"/>
    <w:rsid w:val="28E22AAD"/>
    <w:rsid w:val="28E868B0"/>
    <w:rsid w:val="28F364BD"/>
    <w:rsid w:val="28F60FCD"/>
    <w:rsid w:val="29034D8E"/>
    <w:rsid w:val="290D640A"/>
    <w:rsid w:val="291560D2"/>
    <w:rsid w:val="291A4C7E"/>
    <w:rsid w:val="291F0427"/>
    <w:rsid w:val="29211DC2"/>
    <w:rsid w:val="29293C6D"/>
    <w:rsid w:val="29356CDE"/>
    <w:rsid w:val="293715E5"/>
    <w:rsid w:val="293C79A7"/>
    <w:rsid w:val="293E56B3"/>
    <w:rsid w:val="29422464"/>
    <w:rsid w:val="29424212"/>
    <w:rsid w:val="29454D6E"/>
    <w:rsid w:val="294855A0"/>
    <w:rsid w:val="294A57BC"/>
    <w:rsid w:val="294F4DA4"/>
    <w:rsid w:val="295449EC"/>
    <w:rsid w:val="29554FB8"/>
    <w:rsid w:val="295D23DB"/>
    <w:rsid w:val="296228C4"/>
    <w:rsid w:val="29626662"/>
    <w:rsid w:val="296A5517"/>
    <w:rsid w:val="297172A8"/>
    <w:rsid w:val="29797CEF"/>
    <w:rsid w:val="2983564B"/>
    <w:rsid w:val="2986365A"/>
    <w:rsid w:val="298F2D60"/>
    <w:rsid w:val="29BE52CE"/>
    <w:rsid w:val="29CE5AA6"/>
    <w:rsid w:val="29DB2E13"/>
    <w:rsid w:val="29DB795F"/>
    <w:rsid w:val="29EA4B44"/>
    <w:rsid w:val="29F43C64"/>
    <w:rsid w:val="29FA25C8"/>
    <w:rsid w:val="29FC032F"/>
    <w:rsid w:val="29FD19B7"/>
    <w:rsid w:val="2A03307B"/>
    <w:rsid w:val="2A0D142F"/>
    <w:rsid w:val="2A0E5BA5"/>
    <w:rsid w:val="2A112438"/>
    <w:rsid w:val="2A121ADD"/>
    <w:rsid w:val="2A1808B1"/>
    <w:rsid w:val="2A1C72FC"/>
    <w:rsid w:val="2A1D07DB"/>
    <w:rsid w:val="2A2554D5"/>
    <w:rsid w:val="2A363D92"/>
    <w:rsid w:val="2A3A1248"/>
    <w:rsid w:val="2A3B23D3"/>
    <w:rsid w:val="2A463A27"/>
    <w:rsid w:val="2A4B17EC"/>
    <w:rsid w:val="2A6021EF"/>
    <w:rsid w:val="2A6A0AB6"/>
    <w:rsid w:val="2A783C63"/>
    <w:rsid w:val="2A790BAB"/>
    <w:rsid w:val="2A7A22B0"/>
    <w:rsid w:val="2A7A288C"/>
    <w:rsid w:val="2A7A5040"/>
    <w:rsid w:val="2A7F5588"/>
    <w:rsid w:val="2A823FDD"/>
    <w:rsid w:val="2A871EF8"/>
    <w:rsid w:val="2A900B3D"/>
    <w:rsid w:val="2A94612D"/>
    <w:rsid w:val="2A99095C"/>
    <w:rsid w:val="2A9C5B40"/>
    <w:rsid w:val="2AA400F4"/>
    <w:rsid w:val="2AAC54BB"/>
    <w:rsid w:val="2AAD6003"/>
    <w:rsid w:val="2AB57FF9"/>
    <w:rsid w:val="2ABA24CE"/>
    <w:rsid w:val="2ABA6371"/>
    <w:rsid w:val="2ABF7AE4"/>
    <w:rsid w:val="2AC329D5"/>
    <w:rsid w:val="2AC771F9"/>
    <w:rsid w:val="2ACC28DA"/>
    <w:rsid w:val="2AE11D66"/>
    <w:rsid w:val="2AEB102F"/>
    <w:rsid w:val="2AEE44F8"/>
    <w:rsid w:val="2AFA470A"/>
    <w:rsid w:val="2AFD6C12"/>
    <w:rsid w:val="2B0678E1"/>
    <w:rsid w:val="2B081E52"/>
    <w:rsid w:val="2B0C20F7"/>
    <w:rsid w:val="2B0F5533"/>
    <w:rsid w:val="2B141BDE"/>
    <w:rsid w:val="2B1A03EA"/>
    <w:rsid w:val="2B1B65B9"/>
    <w:rsid w:val="2B2706A2"/>
    <w:rsid w:val="2B28252F"/>
    <w:rsid w:val="2B2D2106"/>
    <w:rsid w:val="2B461FAE"/>
    <w:rsid w:val="2B487ADA"/>
    <w:rsid w:val="2B4D31F0"/>
    <w:rsid w:val="2B4F0637"/>
    <w:rsid w:val="2B4F71D5"/>
    <w:rsid w:val="2B527EE3"/>
    <w:rsid w:val="2B580D2F"/>
    <w:rsid w:val="2B5E1A74"/>
    <w:rsid w:val="2B667187"/>
    <w:rsid w:val="2B6C7C6C"/>
    <w:rsid w:val="2B736F2B"/>
    <w:rsid w:val="2B7D4228"/>
    <w:rsid w:val="2B7D7783"/>
    <w:rsid w:val="2B8B70C4"/>
    <w:rsid w:val="2B9576E2"/>
    <w:rsid w:val="2B9A4D5A"/>
    <w:rsid w:val="2B9D6077"/>
    <w:rsid w:val="2B9F55DB"/>
    <w:rsid w:val="2BA41CAA"/>
    <w:rsid w:val="2BAA0794"/>
    <w:rsid w:val="2BB94533"/>
    <w:rsid w:val="2BBB53AD"/>
    <w:rsid w:val="2BBB639B"/>
    <w:rsid w:val="2BC01D66"/>
    <w:rsid w:val="2BC2082C"/>
    <w:rsid w:val="2BC36628"/>
    <w:rsid w:val="2BC5737C"/>
    <w:rsid w:val="2BCB2584"/>
    <w:rsid w:val="2BD25B6F"/>
    <w:rsid w:val="2BEC51D8"/>
    <w:rsid w:val="2BEC7EFA"/>
    <w:rsid w:val="2BEF1A87"/>
    <w:rsid w:val="2BEF7F55"/>
    <w:rsid w:val="2BF66BA9"/>
    <w:rsid w:val="2C0368C6"/>
    <w:rsid w:val="2C05500E"/>
    <w:rsid w:val="2C0D4506"/>
    <w:rsid w:val="2C1134D0"/>
    <w:rsid w:val="2C246940"/>
    <w:rsid w:val="2C290D81"/>
    <w:rsid w:val="2C295D59"/>
    <w:rsid w:val="2C2E78B5"/>
    <w:rsid w:val="2C3C1EC1"/>
    <w:rsid w:val="2C4209CD"/>
    <w:rsid w:val="2C42462B"/>
    <w:rsid w:val="2C531232"/>
    <w:rsid w:val="2C587F14"/>
    <w:rsid w:val="2C5B41CA"/>
    <w:rsid w:val="2C5E0D2F"/>
    <w:rsid w:val="2C5F361A"/>
    <w:rsid w:val="2C647269"/>
    <w:rsid w:val="2C6A3498"/>
    <w:rsid w:val="2C6F4E9A"/>
    <w:rsid w:val="2C8362B3"/>
    <w:rsid w:val="2C8A6306"/>
    <w:rsid w:val="2C8B76DA"/>
    <w:rsid w:val="2C8F068C"/>
    <w:rsid w:val="2CA045D1"/>
    <w:rsid w:val="2CA423D8"/>
    <w:rsid w:val="2CA96082"/>
    <w:rsid w:val="2CB719CB"/>
    <w:rsid w:val="2CB85977"/>
    <w:rsid w:val="2CB949B4"/>
    <w:rsid w:val="2CBB5644"/>
    <w:rsid w:val="2CC44205"/>
    <w:rsid w:val="2CC905A9"/>
    <w:rsid w:val="2CCF5DDE"/>
    <w:rsid w:val="2CD56F32"/>
    <w:rsid w:val="2CDB0944"/>
    <w:rsid w:val="2CE27267"/>
    <w:rsid w:val="2CE74D39"/>
    <w:rsid w:val="2CE8150A"/>
    <w:rsid w:val="2D016444"/>
    <w:rsid w:val="2D085772"/>
    <w:rsid w:val="2D0B00A7"/>
    <w:rsid w:val="2D12077C"/>
    <w:rsid w:val="2D1A1408"/>
    <w:rsid w:val="2D21385E"/>
    <w:rsid w:val="2D270FD0"/>
    <w:rsid w:val="2D277EFB"/>
    <w:rsid w:val="2D2E11B0"/>
    <w:rsid w:val="2D31047C"/>
    <w:rsid w:val="2D314CC9"/>
    <w:rsid w:val="2D3178DC"/>
    <w:rsid w:val="2D324DB9"/>
    <w:rsid w:val="2D4D2C4B"/>
    <w:rsid w:val="2D4E3F0C"/>
    <w:rsid w:val="2D5664DE"/>
    <w:rsid w:val="2D646B9E"/>
    <w:rsid w:val="2D6706EB"/>
    <w:rsid w:val="2D690C64"/>
    <w:rsid w:val="2D6C5D01"/>
    <w:rsid w:val="2D6D1127"/>
    <w:rsid w:val="2D700E9E"/>
    <w:rsid w:val="2D705789"/>
    <w:rsid w:val="2D7D7F0E"/>
    <w:rsid w:val="2D80355B"/>
    <w:rsid w:val="2D825B35"/>
    <w:rsid w:val="2D9139BA"/>
    <w:rsid w:val="2D976683"/>
    <w:rsid w:val="2DA01E4F"/>
    <w:rsid w:val="2DA27975"/>
    <w:rsid w:val="2DA57465"/>
    <w:rsid w:val="2DAA4A7C"/>
    <w:rsid w:val="2DB27C81"/>
    <w:rsid w:val="2DB44B38"/>
    <w:rsid w:val="2DB74C8F"/>
    <w:rsid w:val="2DCB05F1"/>
    <w:rsid w:val="2DE35338"/>
    <w:rsid w:val="2E11076A"/>
    <w:rsid w:val="2E132BF2"/>
    <w:rsid w:val="2E150147"/>
    <w:rsid w:val="2E161683"/>
    <w:rsid w:val="2E194F3D"/>
    <w:rsid w:val="2E344345"/>
    <w:rsid w:val="2E3B3926"/>
    <w:rsid w:val="2E3B56D4"/>
    <w:rsid w:val="2E3E0198"/>
    <w:rsid w:val="2E3F0BEE"/>
    <w:rsid w:val="2E4F0821"/>
    <w:rsid w:val="2E5015EC"/>
    <w:rsid w:val="2E521413"/>
    <w:rsid w:val="2E5464B5"/>
    <w:rsid w:val="2E560939"/>
    <w:rsid w:val="2E5A7CD6"/>
    <w:rsid w:val="2E5E648E"/>
    <w:rsid w:val="2E6A61A2"/>
    <w:rsid w:val="2E6E5AA9"/>
    <w:rsid w:val="2E743409"/>
    <w:rsid w:val="2E790DE1"/>
    <w:rsid w:val="2E7B7EC9"/>
    <w:rsid w:val="2E7C01C6"/>
    <w:rsid w:val="2E9136EE"/>
    <w:rsid w:val="2EA8720D"/>
    <w:rsid w:val="2EBF3113"/>
    <w:rsid w:val="2EC42A1F"/>
    <w:rsid w:val="2EC56BE5"/>
    <w:rsid w:val="2EC73785"/>
    <w:rsid w:val="2EDA4EED"/>
    <w:rsid w:val="2EF00893"/>
    <w:rsid w:val="2EFF3E52"/>
    <w:rsid w:val="2F08433B"/>
    <w:rsid w:val="2F136646"/>
    <w:rsid w:val="2F1A5A56"/>
    <w:rsid w:val="2F1E302B"/>
    <w:rsid w:val="2F1F371B"/>
    <w:rsid w:val="2F261EE0"/>
    <w:rsid w:val="2F2F22BD"/>
    <w:rsid w:val="2F3557ED"/>
    <w:rsid w:val="2F363704"/>
    <w:rsid w:val="2F39477D"/>
    <w:rsid w:val="2F3D14B0"/>
    <w:rsid w:val="2F4131BE"/>
    <w:rsid w:val="2F546A4D"/>
    <w:rsid w:val="2F5762E2"/>
    <w:rsid w:val="2F61762B"/>
    <w:rsid w:val="2F723377"/>
    <w:rsid w:val="2F793F6A"/>
    <w:rsid w:val="2F7B4FA2"/>
    <w:rsid w:val="2F847853"/>
    <w:rsid w:val="2F866E22"/>
    <w:rsid w:val="2F8F3F29"/>
    <w:rsid w:val="2F962068"/>
    <w:rsid w:val="2F972DDE"/>
    <w:rsid w:val="2F9E3716"/>
    <w:rsid w:val="2F9E5E02"/>
    <w:rsid w:val="2FA12592"/>
    <w:rsid w:val="2FA92ACB"/>
    <w:rsid w:val="2FB27C17"/>
    <w:rsid w:val="2FC12E0D"/>
    <w:rsid w:val="2FC32224"/>
    <w:rsid w:val="2FCB1ED7"/>
    <w:rsid w:val="2FD3657A"/>
    <w:rsid w:val="2FDB474A"/>
    <w:rsid w:val="2FDD2E8E"/>
    <w:rsid w:val="2FDE3125"/>
    <w:rsid w:val="2FEC0550"/>
    <w:rsid w:val="2FEC4ED7"/>
    <w:rsid w:val="2FED2320"/>
    <w:rsid w:val="2FEE6EA1"/>
    <w:rsid w:val="2FF260EA"/>
    <w:rsid w:val="2FF3094F"/>
    <w:rsid w:val="2FFD0C0E"/>
    <w:rsid w:val="300D20E3"/>
    <w:rsid w:val="300D36B9"/>
    <w:rsid w:val="301B2328"/>
    <w:rsid w:val="30225849"/>
    <w:rsid w:val="302A5A00"/>
    <w:rsid w:val="30322E5C"/>
    <w:rsid w:val="30396D27"/>
    <w:rsid w:val="3044003E"/>
    <w:rsid w:val="30446AC1"/>
    <w:rsid w:val="30505F70"/>
    <w:rsid w:val="305703F6"/>
    <w:rsid w:val="30645CFC"/>
    <w:rsid w:val="30665E9F"/>
    <w:rsid w:val="306C7EFE"/>
    <w:rsid w:val="30806AFC"/>
    <w:rsid w:val="3091782D"/>
    <w:rsid w:val="3092535C"/>
    <w:rsid w:val="30A57B99"/>
    <w:rsid w:val="30B20F2D"/>
    <w:rsid w:val="30B97331"/>
    <w:rsid w:val="30BA6D63"/>
    <w:rsid w:val="30C10112"/>
    <w:rsid w:val="30C23A3B"/>
    <w:rsid w:val="30C62E41"/>
    <w:rsid w:val="30CB263C"/>
    <w:rsid w:val="30CC18B7"/>
    <w:rsid w:val="30EC0F07"/>
    <w:rsid w:val="30F5319F"/>
    <w:rsid w:val="310821E5"/>
    <w:rsid w:val="310C35ED"/>
    <w:rsid w:val="310D031B"/>
    <w:rsid w:val="31136BFE"/>
    <w:rsid w:val="31186793"/>
    <w:rsid w:val="311E37B6"/>
    <w:rsid w:val="312132A7"/>
    <w:rsid w:val="31336B36"/>
    <w:rsid w:val="313B3958"/>
    <w:rsid w:val="313E5402"/>
    <w:rsid w:val="31496258"/>
    <w:rsid w:val="314B0B14"/>
    <w:rsid w:val="31594B69"/>
    <w:rsid w:val="315B0515"/>
    <w:rsid w:val="31607AF5"/>
    <w:rsid w:val="31660CB9"/>
    <w:rsid w:val="316B6CEE"/>
    <w:rsid w:val="3173799B"/>
    <w:rsid w:val="317409D9"/>
    <w:rsid w:val="31780A67"/>
    <w:rsid w:val="31821D30"/>
    <w:rsid w:val="31881438"/>
    <w:rsid w:val="318C3787"/>
    <w:rsid w:val="31913A69"/>
    <w:rsid w:val="31922F44"/>
    <w:rsid w:val="319B3CAA"/>
    <w:rsid w:val="31A0241D"/>
    <w:rsid w:val="31AA0A84"/>
    <w:rsid w:val="31B36D87"/>
    <w:rsid w:val="31C10CC5"/>
    <w:rsid w:val="31C53C32"/>
    <w:rsid w:val="31C70022"/>
    <w:rsid w:val="31CE06FD"/>
    <w:rsid w:val="31D04385"/>
    <w:rsid w:val="31D37F2E"/>
    <w:rsid w:val="31DA7CEA"/>
    <w:rsid w:val="31E51FB7"/>
    <w:rsid w:val="31ED3136"/>
    <w:rsid w:val="31FD406A"/>
    <w:rsid w:val="31FE0EF2"/>
    <w:rsid w:val="31FE2FC8"/>
    <w:rsid w:val="32066C5B"/>
    <w:rsid w:val="321A5DCA"/>
    <w:rsid w:val="322A1CE7"/>
    <w:rsid w:val="323B5CA2"/>
    <w:rsid w:val="324276A3"/>
    <w:rsid w:val="32440A8B"/>
    <w:rsid w:val="324639D0"/>
    <w:rsid w:val="324D77D1"/>
    <w:rsid w:val="325719E8"/>
    <w:rsid w:val="326170B4"/>
    <w:rsid w:val="3264531C"/>
    <w:rsid w:val="32665466"/>
    <w:rsid w:val="326B38EB"/>
    <w:rsid w:val="32830ACC"/>
    <w:rsid w:val="32892A4B"/>
    <w:rsid w:val="32AF0842"/>
    <w:rsid w:val="32B04854"/>
    <w:rsid w:val="32B51EF8"/>
    <w:rsid w:val="32B736BD"/>
    <w:rsid w:val="32B865A2"/>
    <w:rsid w:val="32C526D6"/>
    <w:rsid w:val="32C739DA"/>
    <w:rsid w:val="32D817FB"/>
    <w:rsid w:val="32DC3E61"/>
    <w:rsid w:val="32E75208"/>
    <w:rsid w:val="32E97DF4"/>
    <w:rsid w:val="32FE6CC1"/>
    <w:rsid w:val="33082597"/>
    <w:rsid w:val="33087F73"/>
    <w:rsid w:val="330E2F53"/>
    <w:rsid w:val="330F4321"/>
    <w:rsid w:val="3317426F"/>
    <w:rsid w:val="3317670F"/>
    <w:rsid w:val="331F2416"/>
    <w:rsid w:val="33291ECF"/>
    <w:rsid w:val="33323549"/>
    <w:rsid w:val="333304B5"/>
    <w:rsid w:val="33435FD9"/>
    <w:rsid w:val="3345063A"/>
    <w:rsid w:val="33501C21"/>
    <w:rsid w:val="335039CF"/>
    <w:rsid w:val="335121B9"/>
    <w:rsid w:val="33596D28"/>
    <w:rsid w:val="336E4DB0"/>
    <w:rsid w:val="33714640"/>
    <w:rsid w:val="337829B0"/>
    <w:rsid w:val="337A0742"/>
    <w:rsid w:val="337C0BAD"/>
    <w:rsid w:val="3381627F"/>
    <w:rsid w:val="33835519"/>
    <w:rsid w:val="338E25CB"/>
    <w:rsid w:val="3390353C"/>
    <w:rsid w:val="33923816"/>
    <w:rsid w:val="33947D60"/>
    <w:rsid w:val="33960E31"/>
    <w:rsid w:val="339766EC"/>
    <w:rsid w:val="33A13F7B"/>
    <w:rsid w:val="33A8589B"/>
    <w:rsid w:val="33B95F01"/>
    <w:rsid w:val="33C07D0A"/>
    <w:rsid w:val="33D33415"/>
    <w:rsid w:val="33E170B6"/>
    <w:rsid w:val="33E476E2"/>
    <w:rsid w:val="33E52369"/>
    <w:rsid w:val="33E93BB1"/>
    <w:rsid w:val="33F75282"/>
    <w:rsid w:val="33FB6405"/>
    <w:rsid w:val="340101EB"/>
    <w:rsid w:val="3402383D"/>
    <w:rsid w:val="34076784"/>
    <w:rsid w:val="340A53E6"/>
    <w:rsid w:val="34100227"/>
    <w:rsid w:val="34110143"/>
    <w:rsid w:val="341B4C51"/>
    <w:rsid w:val="34270BD4"/>
    <w:rsid w:val="342B7310"/>
    <w:rsid w:val="342E247E"/>
    <w:rsid w:val="342F343D"/>
    <w:rsid w:val="343011E9"/>
    <w:rsid w:val="34352F7A"/>
    <w:rsid w:val="34413BB3"/>
    <w:rsid w:val="34517714"/>
    <w:rsid w:val="345F74B2"/>
    <w:rsid w:val="34634E66"/>
    <w:rsid w:val="346E1392"/>
    <w:rsid w:val="347362F2"/>
    <w:rsid w:val="34784F8C"/>
    <w:rsid w:val="34831B82"/>
    <w:rsid w:val="348342CA"/>
    <w:rsid w:val="34880F47"/>
    <w:rsid w:val="348A1DB8"/>
    <w:rsid w:val="34980D1E"/>
    <w:rsid w:val="34A25951"/>
    <w:rsid w:val="34AE72C0"/>
    <w:rsid w:val="34B033E7"/>
    <w:rsid w:val="34BD350C"/>
    <w:rsid w:val="34BF74EA"/>
    <w:rsid w:val="34C22E54"/>
    <w:rsid w:val="34C63AE5"/>
    <w:rsid w:val="34C93A39"/>
    <w:rsid w:val="34D766B0"/>
    <w:rsid w:val="34DB19BE"/>
    <w:rsid w:val="34DB2B4D"/>
    <w:rsid w:val="34E16316"/>
    <w:rsid w:val="34E467C1"/>
    <w:rsid w:val="34E66EBD"/>
    <w:rsid w:val="34E75F12"/>
    <w:rsid w:val="34F16887"/>
    <w:rsid w:val="34F32500"/>
    <w:rsid w:val="34F338FE"/>
    <w:rsid w:val="34FE39F8"/>
    <w:rsid w:val="350A5CF4"/>
    <w:rsid w:val="351729F7"/>
    <w:rsid w:val="351F2F82"/>
    <w:rsid w:val="3522586C"/>
    <w:rsid w:val="3535293E"/>
    <w:rsid w:val="3536502B"/>
    <w:rsid w:val="353665BD"/>
    <w:rsid w:val="35371562"/>
    <w:rsid w:val="35496928"/>
    <w:rsid w:val="354C4C22"/>
    <w:rsid w:val="355B65B2"/>
    <w:rsid w:val="355D4F81"/>
    <w:rsid w:val="356F2353"/>
    <w:rsid w:val="35705AE4"/>
    <w:rsid w:val="35824905"/>
    <w:rsid w:val="35843F72"/>
    <w:rsid w:val="35862A9A"/>
    <w:rsid w:val="35970273"/>
    <w:rsid w:val="35BC17F0"/>
    <w:rsid w:val="35C74E47"/>
    <w:rsid w:val="35DA09C0"/>
    <w:rsid w:val="35E24DF5"/>
    <w:rsid w:val="35FC0320"/>
    <w:rsid w:val="35FC78A0"/>
    <w:rsid w:val="35FC7E3E"/>
    <w:rsid w:val="35FF3C90"/>
    <w:rsid w:val="35FF463C"/>
    <w:rsid w:val="3606454A"/>
    <w:rsid w:val="3607649B"/>
    <w:rsid w:val="360C62D3"/>
    <w:rsid w:val="360C6E10"/>
    <w:rsid w:val="360D4DD7"/>
    <w:rsid w:val="361124A4"/>
    <w:rsid w:val="36132896"/>
    <w:rsid w:val="36203B2D"/>
    <w:rsid w:val="362376E7"/>
    <w:rsid w:val="36251E52"/>
    <w:rsid w:val="3627310D"/>
    <w:rsid w:val="362C0724"/>
    <w:rsid w:val="3633222C"/>
    <w:rsid w:val="363407F7"/>
    <w:rsid w:val="3638445C"/>
    <w:rsid w:val="36434D26"/>
    <w:rsid w:val="36470DE8"/>
    <w:rsid w:val="364A2958"/>
    <w:rsid w:val="364C7476"/>
    <w:rsid w:val="364D39D1"/>
    <w:rsid w:val="36513CE6"/>
    <w:rsid w:val="365612E8"/>
    <w:rsid w:val="36642D30"/>
    <w:rsid w:val="366513C8"/>
    <w:rsid w:val="3686608C"/>
    <w:rsid w:val="368C11AF"/>
    <w:rsid w:val="368E7A3C"/>
    <w:rsid w:val="368F0CB2"/>
    <w:rsid w:val="36A65F5F"/>
    <w:rsid w:val="36AB3E1C"/>
    <w:rsid w:val="36AD2EE7"/>
    <w:rsid w:val="36AD62EF"/>
    <w:rsid w:val="36B4674F"/>
    <w:rsid w:val="36C04CF9"/>
    <w:rsid w:val="36C41E85"/>
    <w:rsid w:val="36CA1F25"/>
    <w:rsid w:val="36DB260C"/>
    <w:rsid w:val="36DE0951"/>
    <w:rsid w:val="36F210B1"/>
    <w:rsid w:val="36F901E6"/>
    <w:rsid w:val="37007AC7"/>
    <w:rsid w:val="370936B6"/>
    <w:rsid w:val="37113475"/>
    <w:rsid w:val="37133063"/>
    <w:rsid w:val="37152F66"/>
    <w:rsid w:val="371722E2"/>
    <w:rsid w:val="371D335B"/>
    <w:rsid w:val="371F6EDC"/>
    <w:rsid w:val="372376B1"/>
    <w:rsid w:val="37266CE4"/>
    <w:rsid w:val="372A09FA"/>
    <w:rsid w:val="37330115"/>
    <w:rsid w:val="373529C0"/>
    <w:rsid w:val="374101FF"/>
    <w:rsid w:val="37537F32"/>
    <w:rsid w:val="375A3819"/>
    <w:rsid w:val="375A58F4"/>
    <w:rsid w:val="375F2D0C"/>
    <w:rsid w:val="376B4FBE"/>
    <w:rsid w:val="37807A1C"/>
    <w:rsid w:val="378123A9"/>
    <w:rsid w:val="378974B0"/>
    <w:rsid w:val="378E3BE4"/>
    <w:rsid w:val="379837CA"/>
    <w:rsid w:val="37994C24"/>
    <w:rsid w:val="37A273E4"/>
    <w:rsid w:val="37A4695E"/>
    <w:rsid w:val="37AA79A3"/>
    <w:rsid w:val="37AB70F8"/>
    <w:rsid w:val="37B253AC"/>
    <w:rsid w:val="37B73B33"/>
    <w:rsid w:val="37B75F51"/>
    <w:rsid w:val="37C87091"/>
    <w:rsid w:val="37CD3F9D"/>
    <w:rsid w:val="37D42B5B"/>
    <w:rsid w:val="37E8004A"/>
    <w:rsid w:val="37F048A0"/>
    <w:rsid w:val="37F27E10"/>
    <w:rsid w:val="380A6843"/>
    <w:rsid w:val="382932C1"/>
    <w:rsid w:val="382A51FA"/>
    <w:rsid w:val="382F4B08"/>
    <w:rsid w:val="38312A30"/>
    <w:rsid w:val="38523D46"/>
    <w:rsid w:val="385C2977"/>
    <w:rsid w:val="385E6AEF"/>
    <w:rsid w:val="386D5023"/>
    <w:rsid w:val="38975BFC"/>
    <w:rsid w:val="38995E18"/>
    <w:rsid w:val="38A00A0E"/>
    <w:rsid w:val="38A172FA"/>
    <w:rsid w:val="38A23923"/>
    <w:rsid w:val="38B10FD3"/>
    <w:rsid w:val="38B12660"/>
    <w:rsid w:val="38B36EDA"/>
    <w:rsid w:val="38B92017"/>
    <w:rsid w:val="38CA6DC7"/>
    <w:rsid w:val="38DC7DB9"/>
    <w:rsid w:val="38DE2E10"/>
    <w:rsid w:val="38E12A24"/>
    <w:rsid w:val="38E52E0C"/>
    <w:rsid w:val="38E7522B"/>
    <w:rsid w:val="38EC5F48"/>
    <w:rsid w:val="38F172EC"/>
    <w:rsid w:val="38FA46B4"/>
    <w:rsid w:val="390C7C27"/>
    <w:rsid w:val="390D588D"/>
    <w:rsid w:val="39112852"/>
    <w:rsid w:val="39186D3D"/>
    <w:rsid w:val="391F5244"/>
    <w:rsid w:val="39225CE4"/>
    <w:rsid w:val="392635CF"/>
    <w:rsid w:val="392876F4"/>
    <w:rsid w:val="392A377B"/>
    <w:rsid w:val="393120C7"/>
    <w:rsid w:val="39331DC9"/>
    <w:rsid w:val="393E362D"/>
    <w:rsid w:val="394144E6"/>
    <w:rsid w:val="39534219"/>
    <w:rsid w:val="3954329D"/>
    <w:rsid w:val="39551744"/>
    <w:rsid w:val="39565C38"/>
    <w:rsid w:val="395E6FAD"/>
    <w:rsid w:val="396252C6"/>
    <w:rsid w:val="3967248F"/>
    <w:rsid w:val="39673BFA"/>
    <w:rsid w:val="396A73B1"/>
    <w:rsid w:val="396D0C84"/>
    <w:rsid w:val="396D6ECE"/>
    <w:rsid w:val="3971644D"/>
    <w:rsid w:val="397244C0"/>
    <w:rsid w:val="3974410E"/>
    <w:rsid w:val="39773AA5"/>
    <w:rsid w:val="397F27D6"/>
    <w:rsid w:val="398B5761"/>
    <w:rsid w:val="39900FC9"/>
    <w:rsid w:val="3990461B"/>
    <w:rsid w:val="39916571"/>
    <w:rsid w:val="39972358"/>
    <w:rsid w:val="39980102"/>
    <w:rsid w:val="399A1E48"/>
    <w:rsid w:val="39AC0EFC"/>
    <w:rsid w:val="39AE1A04"/>
    <w:rsid w:val="39B527DE"/>
    <w:rsid w:val="39B7679D"/>
    <w:rsid w:val="39C550B5"/>
    <w:rsid w:val="39DC14C7"/>
    <w:rsid w:val="39DC32CF"/>
    <w:rsid w:val="39DC5B33"/>
    <w:rsid w:val="39EF3377"/>
    <w:rsid w:val="39F63CA8"/>
    <w:rsid w:val="39F85C7D"/>
    <w:rsid w:val="39FF7EFD"/>
    <w:rsid w:val="3A025137"/>
    <w:rsid w:val="3A0C76D7"/>
    <w:rsid w:val="3A1E479F"/>
    <w:rsid w:val="3A204AEC"/>
    <w:rsid w:val="3A2200E6"/>
    <w:rsid w:val="3A2843A8"/>
    <w:rsid w:val="3A2D4580"/>
    <w:rsid w:val="3A2F07E2"/>
    <w:rsid w:val="3A3E0D77"/>
    <w:rsid w:val="3A40644A"/>
    <w:rsid w:val="3A441C9D"/>
    <w:rsid w:val="3A4E34CE"/>
    <w:rsid w:val="3A504D64"/>
    <w:rsid w:val="3A5610C1"/>
    <w:rsid w:val="3A6234A0"/>
    <w:rsid w:val="3A627DF4"/>
    <w:rsid w:val="3A791CD8"/>
    <w:rsid w:val="3A7A59B6"/>
    <w:rsid w:val="3A914FF9"/>
    <w:rsid w:val="3A9611FB"/>
    <w:rsid w:val="3AB06356"/>
    <w:rsid w:val="3AB77E36"/>
    <w:rsid w:val="3AC20A9E"/>
    <w:rsid w:val="3AC7670A"/>
    <w:rsid w:val="3ACA5143"/>
    <w:rsid w:val="3ACC7E1E"/>
    <w:rsid w:val="3ADC43DB"/>
    <w:rsid w:val="3AE20C06"/>
    <w:rsid w:val="3AE24571"/>
    <w:rsid w:val="3AEB018A"/>
    <w:rsid w:val="3AEC66D3"/>
    <w:rsid w:val="3B047A2C"/>
    <w:rsid w:val="3B101F22"/>
    <w:rsid w:val="3B112C59"/>
    <w:rsid w:val="3B124C1B"/>
    <w:rsid w:val="3B144FE3"/>
    <w:rsid w:val="3B1479D8"/>
    <w:rsid w:val="3B1A183F"/>
    <w:rsid w:val="3B247C1B"/>
    <w:rsid w:val="3B263436"/>
    <w:rsid w:val="3B2A3136"/>
    <w:rsid w:val="3B2B31E1"/>
    <w:rsid w:val="3B2E0A9A"/>
    <w:rsid w:val="3B375496"/>
    <w:rsid w:val="3B3B31B7"/>
    <w:rsid w:val="3B43293D"/>
    <w:rsid w:val="3B44115B"/>
    <w:rsid w:val="3B532EF7"/>
    <w:rsid w:val="3B5B758E"/>
    <w:rsid w:val="3B5F7EA1"/>
    <w:rsid w:val="3B622EBC"/>
    <w:rsid w:val="3B691AD2"/>
    <w:rsid w:val="3B697A40"/>
    <w:rsid w:val="3B6A2D40"/>
    <w:rsid w:val="3B733F3E"/>
    <w:rsid w:val="3B7B6258"/>
    <w:rsid w:val="3B7C16F1"/>
    <w:rsid w:val="3B7D36E1"/>
    <w:rsid w:val="3B881B73"/>
    <w:rsid w:val="3B8A52AF"/>
    <w:rsid w:val="3B8A6A1F"/>
    <w:rsid w:val="3B8E1539"/>
    <w:rsid w:val="3B97118C"/>
    <w:rsid w:val="3B9B6F13"/>
    <w:rsid w:val="3BAE3267"/>
    <w:rsid w:val="3BB32DE6"/>
    <w:rsid w:val="3BC05AA5"/>
    <w:rsid w:val="3BC74A4B"/>
    <w:rsid w:val="3BCD738B"/>
    <w:rsid w:val="3BD3218F"/>
    <w:rsid w:val="3BE5760A"/>
    <w:rsid w:val="3BE95FBF"/>
    <w:rsid w:val="3BF736C7"/>
    <w:rsid w:val="3C0134AE"/>
    <w:rsid w:val="3C033CD5"/>
    <w:rsid w:val="3C0812EB"/>
    <w:rsid w:val="3C0C4260"/>
    <w:rsid w:val="3C0D7EBC"/>
    <w:rsid w:val="3C0F313B"/>
    <w:rsid w:val="3C193F39"/>
    <w:rsid w:val="3C2E6878"/>
    <w:rsid w:val="3C340332"/>
    <w:rsid w:val="3C35789E"/>
    <w:rsid w:val="3C3A17EA"/>
    <w:rsid w:val="3C3E6D60"/>
    <w:rsid w:val="3C4D4524"/>
    <w:rsid w:val="3C5639DE"/>
    <w:rsid w:val="3C571C05"/>
    <w:rsid w:val="3C64352B"/>
    <w:rsid w:val="3C672E2C"/>
    <w:rsid w:val="3C764FC0"/>
    <w:rsid w:val="3C8316B6"/>
    <w:rsid w:val="3C8B7826"/>
    <w:rsid w:val="3C8D58BE"/>
    <w:rsid w:val="3C8E5FED"/>
    <w:rsid w:val="3C942323"/>
    <w:rsid w:val="3C943E83"/>
    <w:rsid w:val="3C9C5ED7"/>
    <w:rsid w:val="3C9E20B1"/>
    <w:rsid w:val="3CA31014"/>
    <w:rsid w:val="3CB53A65"/>
    <w:rsid w:val="3CC05722"/>
    <w:rsid w:val="3CC102AC"/>
    <w:rsid w:val="3CC712F4"/>
    <w:rsid w:val="3CD76CB4"/>
    <w:rsid w:val="3CDB50CB"/>
    <w:rsid w:val="3CE360F2"/>
    <w:rsid w:val="3CEA5162"/>
    <w:rsid w:val="3CEE5C15"/>
    <w:rsid w:val="3CF46F06"/>
    <w:rsid w:val="3CF5496B"/>
    <w:rsid w:val="3D0B4E51"/>
    <w:rsid w:val="3D115586"/>
    <w:rsid w:val="3D197739"/>
    <w:rsid w:val="3D1C463E"/>
    <w:rsid w:val="3D296645"/>
    <w:rsid w:val="3D2B2775"/>
    <w:rsid w:val="3D3103CE"/>
    <w:rsid w:val="3D3130F3"/>
    <w:rsid w:val="3D3C4E22"/>
    <w:rsid w:val="3D422B64"/>
    <w:rsid w:val="3D477BF1"/>
    <w:rsid w:val="3D500385"/>
    <w:rsid w:val="3D59462B"/>
    <w:rsid w:val="3D5A44CB"/>
    <w:rsid w:val="3D5A54B8"/>
    <w:rsid w:val="3D5E780F"/>
    <w:rsid w:val="3D6025AF"/>
    <w:rsid w:val="3D647CD4"/>
    <w:rsid w:val="3D6E33D0"/>
    <w:rsid w:val="3D7B49B3"/>
    <w:rsid w:val="3D84454D"/>
    <w:rsid w:val="3D8620EC"/>
    <w:rsid w:val="3D8D259B"/>
    <w:rsid w:val="3D8D2E74"/>
    <w:rsid w:val="3D940183"/>
    <w:rsid w:val="3D94569F"/>
    <w:rsid w:val="3DA1471C"/>
    <w:rsid w:val="3DAA5519"/>
    <w:rsid w:val="3DAD4BED"/>
    <w:rsid w:val="3DAE1A1E"/>
    <w:rsid w:val="3DB328C2"/>
    <w:rsid w:val="3DC2604C"/>
    <w:rsid w:val="3DCC12F0"/>
    <w:rsid w:val="3DD46CC7"/>
    <w:rsid w:val="3DE41CDC"/>
    <w:rsid w:val="3DE85142"/>
    <w:rsid w:val="3DE90CA8"/>
    <w:rsid w:val="3DEB52FD"/>
    <w:rsid w:val="3DF12E5A"/>
    <w:rsid w:val="3E016AE6"/>
    <w:rsid w:val="3E187D1F"/>
    <w:rsid w:val="3E1C3525"/>
    <w:rsid w:val="3E200B4B"/>
    <w:rsid w:val="3E225DB0"/>
    <w:rsid w:val="3E33791B"/>
    <w:rsid w:val="3E3D069E"/>
    <w:rsid w:val="3E483582"/>
    <w:rsid w:val="3E4C2743"/>
    <w:rsid w:val="3E5337D0"/>
    <w:rsid w:val="3E537DE4"/>
    <w:rsid w:val="3E554154"/>
    <w:rsid w:val="3E5F165E"/>
    <w:rsid w:val="3E6A28BE"/>
    <w:rsid w:val="3E7003FD"/>
    <w:rsid w:val="3E86299B"/>
    <w:rsid w:val="3E8A2A4A"/>
    <w:rsid w:val="3E904009"/>
    <w:rsid w:val="3E927592"/>
    <w:rsid w:val="3E996659"/>
    <w:rsid w:val="3E9C5D1B"/>
    <w:rsid w:val="3E9E1FC0"/>
    <w:rsid w:val="3EA300A7"/>
    <w:rsid w:val="3EB93130"/>
    <w:rsid w:val="3EC3043C"/>
    <w:rsid w:val="3EC8242A"/>
    <w:rsid w:val="3EC82FB3"/>
    <w:rsid w:val="3EC8679C"/>
    <w:rsid w:val="3ECA30D0"/>
    <w:rsid w:val="3ECC3CBE"/>
    <w:rsid w:val="3ECE132F"/>
    <w:rsid w:val="3ED66E05"/>
    <w:rsid w:val="3ED9378A"/>
    <w:rsid w:val="3EE5288B"/>
    <w:rsid w:val="3EFD1DF1"/>
    <w:rsid w:val="3F027DD0"/>
    <w:rsid w:val="3F232D0D"/>
    <w:rsid w:val="3F257025"/>
    <w:rsid w:val="3F2763A2"/>
    <w:rsid w:val="3F293129"/>
    <w:rsid w:val="3F2E1337"/>
    <w:rsid w:val="3F2E2497"/>
    <w:rsid w:val="3F3303B1"/>
    <w:rsid w:val="3F367F1D"/>
    <w:rsid w:val="3F4152FA"/>
    <w:rsid w:val="3F440641"/>
    <w:rsid w:val="3F4A339D"/>
    <w:rsid w:val="3F4A5777"/>
    <w:rsid w:val="3F553F1E"/>
    <w:rsid w:val="3F650802"/>
    <w:rsid w:val="3F66563F"/>
    <w:rsid w:val="3F6E7773"/>
    <w:rsid w:val="3F7F1757"/>
    <w:rsid w:val="3F8165CD"/>
    <w:rsid w:val="3F8E7BF9"/>
    <w:rsid w:val="3F9F1936"/>
    <w:rsid w:val="3FBF2FE8"/>
    <w:rsid w:val="3FCF3ECE"/>
    <w:rsid w:val="3FDE02D2"/>
    <w:rsid w:val="3FFB6A4F"/>
    <w:rsid w:val="40016981"/>
    <w:rsid w:val="4002562A"/>
    <w:rsid w:val="400D69C0"/>
    <w:rsid w:val="401E0B4D"/>
    <w:rsid w:val="401E1F88"/>
    <w:rsid w:val="40266EE6"/>
    <w:rsid w:val="40267F92"/>
    <w:rsid w:val="40275AB8"/>
    <w:rsid w:val="402D166A"/>
    <w:rsid w:val="403A2EC7"/>
    <w:rsid w:val="404E49A2"/>
    <w:rsid w:val="405A40DF"/>
    <w:rsid w:val="40653402"/>
    <w:rsid w:val="40654256"/>
    <w:rsid w:val="406E2D1C"/>
    <w:rsid w:val="40774C91"/>
    <w:rsid w:val="407A1956"/>
    <w:rsid w:val="407C3AE5"/>
    <w:rsid w:val="407F1C79"/>
    <w:rsid w:val="408D65BE"/>
    <w:rsid w:val="409171F4"/>
    <w:rsid w:val="40942BDE"/>
    <w:rsid w:val="40972C3D"/>
    <w:rsid w:val="409B660A"/>
    <w:rsid w:val="409C46F8"/>
    <w:rsid w:val="40A148E9"/>
    <w:rsid w:val="40A96AA7"/>
    <w:rsid w:val="40B04F11"/>
    <w:rsid w:val="40C27447"/>
    <w:rsid w:val="40CA627D"/>
    <w:rsid w:val="40D2308B"/>
    <w:rsid w:val="40D630BA"/>
    <w:rsid w:val="40D641E4"/>
    <w:rsid w:val="40DD7A15"/>
    <w:rsid w:val="41080CDA"/>
    <w:rsid w:val="41090078"/>
    <w:rsid w:val="41110C42"/>
    <w:rsid w:val="411266A1"/>
    <w:rsid w:val="411E0B85"/>
    <w:rsid w:val="413362A7"/>
    <w:rsid w:val="413C5593"/>
    <w:rsid w:val="414311A9"/>
    <w:rsid w:val="4149186F"/>
    <w:rsid w:val="415B010F"/>
    <w:rsid w:val="415E7F1E"/>
    <w:rsid w:val="416136C1"/>
    <w:rsid w:val="4163168B"/>
    <w:rsid w:val="41645CF3"/>
    <w:rsid w:val="41684FED"/>
    <w:rsid w:val="416D1BF0"/>
    <w:rsid w:val="41705CAC"/>
    <w:rsid w:val="41751899"/>
    <w:rsid w:val="417852FE"/>
    <w:rsid w:val="41792489"/>
    <w:rsid w:val="417E7959"/>
    <w:rsid w:val="41833E46"/>
    <w:rsid w:val="41863A79"/>
    <w:rsid w:val="418718DD"/>
    <w:rsid w:val="418E755B"/>
    <w:rsid w:val="41975AE6"/>
    <w:rsid w:val="419A0534"/>
    <w:rsid w:val="419B5637"/>
    <w:rsid w:val="41A50C0C"/>
    <w:rsid w:val="41A7672E"/>
    <w:rsid w:val="41AB30BD"/>
    <w:rsid w:val="41C16449"/>
    <w:rsid w:val="41CB028C"/>
    <w:rsid w:val="41EA4FEF"/>
    <w:rsid w:val="41EC4267"/>
    <w:rsid w:val="41EE52C2"/>
    <w:rsid w:val="41FD4D22"/>
    <w:rsid w:val="42101E16"/>
    <w:rsid w:val="4212294F"/>
    <w:rsid w:val="421309EA"/>
    <w:rsid w:val="421337A1"/>
    <w:rsid w:val="421B33FA"/>
    <w:rsid w:val="422C1E62"/>
    <w:rsid w:val="422C3873"/>
    <w:rsid w:val="422E1456"/>
    <w:rsid w:val="422F2399"/>
    <w:rsid w:val="42310E70"/>
    <w:rsid w:val="4238215D"/>
    <w:rsid w:val="42387696"/>
    <w:rsid w:val="42472441"/>
    <w:rsid w:val="42490980"/>
    <w:rsid w:val="424A586D"/>
    <w:rsid w:val="425132C0"/>
    <w:rsid w:val="42576B28"/>
    <w:rsid w:val="425A03C6"/>
    <w:rsid w:val="426254CD"/>
    <w:rsid w:val="4269060A"/>
    <w:rsid w:val="426A072B"/>
    <w:rsid w:val="426E0E54"/>
    <w:rsid w:val="42746CC9"/>
    <w:rsid w:val="42782D0E"/>
    <w:rsid w:val="42794168"/>
    <w:rsid w:val="42812BEB"/>
    <w:rsid w:val="428D254A"/>
    <w:rsid w:val="42917131"/>
    <w:rsid w:val="429733C9"/>
    <w:rsid w:val="429F13E2"/>
    <w:rsid w:val="42AE6B72"/>
    <w:rsid w:val="42B07FE6"/>
    <w:rsid w:val="42B20202"/>
    <w:rsid w:val="42B368EE"/>
    <w:rsid w:val="42BD2703"/>
    <w:rsid w:val="42BE31F4"/>
    <w:rsid w:val="42BF4A33"/>
    <w:rsid w:val="42CA3CDB"/>
    <w:rsid w:val="42D85084"/>
    <w:rsid w:val="42DA1507"/>
    <w:rsid w:val="42E23496"/>
    <w:rsid w:val="42E43514"/>
    <w:rsid w:val="42E87A95"/>
    <w:rsid w:val="43011432"/>
    <w:rsid w:val="43127A8C"/>
    <w:rsid w:val="431567DE"/>
    <w:rsid w:val="431B24E0"/>
    <w:rsid w:val="431F46B8"/>
    <w:rsid w:val="432129E2"/>
    <w:rsid w:val="432B0A09"/>
    <w:rsid w:val="433A4C14"/>
    <w:rsid w:val="43441DEB"/>
    <w:rsid w:val="4345375F"/>
    <w:rsid w:val="43476B9D"/>
    <w:rsid w:val="4349122C"/>
    <w:rsid w:val="434B6E74"/>
    <w:rsid w:val="4357300A"/>
    <w:rsid w:val="43621BFB"/>
    <w:rsid w:val="43654953"/>
    <w:rsid w:val="43675239"/>
    <w:rsid w:val="437300B3"/>
    <w:rsid w:val="43756941"/>
    <w:rsid w:val="437E6337"/>
    <w:rsid w:val="437F77BC"/>
    <w:rsid w:val="43801B7A"/>
    <w:rsid w:val="438028DB"/>
    <w:rsid w:val="43830C99"/>
    <w:rsid w:val="43933756"/>
    <w:rsid w:val="439C453E"/>
    <w:rsid w:val="43B53A2B"/>
    <w:rsid w:val="43B823A9"/>
    <w:rsid w:val="43BE6232"/>
    <w:rsid w:val="43C90F7F"/>
    <w:rsid w:val="43D349E2"/>
    <w:rsid w:val="43D951C6"/>
    <w:rsid w:val="43D95633"/>
    <w:rsid w:val="43D971F8"/>
    <w:rsid w:val="43DA1716"/>
    <w:rsid w:val="43DD4E0B"/>
    <w:rsid w:val="43DE0B83"/>
    <w:rsid w:val="44011F00"/>
    <w:rsid w:val="44057C4B"/>
    <w:rsid w:val="44062C0D"/>
    <w:rsid w:val="440A3726"/>
    <w:rsid w:val="440C6F05"/>
    <w:rsid w:val="44174544"/>
    <w:rsid w:val="441C152A"/>
    <w:rsid w:val="44320154"/>
    <w:rsid w:val="44352E99"/>
    <w:rsid w:val="44385C50"/>
    <w:rsid w:val="443E0904"/>
    <w:rsid w:val="44415838"/>
    <w:rsid w:val="4449591C"/>
    <w:rsid w:val="444F6752"/>
    <w:rsid w:val="44527333"/>
    <w:rsid w:val="44562A46"/>
    <w:rsid w:val="445D419E"/>
    <w:rsid w:val="445F7F16"/>
    <w:rsid w:val="44674FD6"/>
    <w:rsid w:val="44682E92"/>
    <w:rsid w:val="446F1124"/>
    <w:rsid w:val="44744AF3"/>
    <w:rsid w:val="447C700B"/>
    <w:rsid w:val="447F27A2"/>
    <w:rsid w:val="4482462E"/>
    <w:rsid w:val="448B551F"/>
    <w:rsid w:val="448D2619"/>
    <w:rsid w:val="44982F38"/>
    <w:rsid w:val="44A1052F"/>
    <w:rsid w:val="44A76CF6"/>
    <w:rsid w:val="44AD1FCC"/>
    <w:rsid w:val="44BD0353"/>
    <w:rsid w:val="44C1472D"/>
    <w:rsid w:val="44C83D0E"/>
    <w:rsid w:val="44CD31E2"/>
    <w:rsid w:val="44DD62F3"/>
    <w:rsid w:val="44DE63A8"/>
    <w:rsid w:val="44DF60D4"/>
    <w:rsid w:val="44E04549"/>
    <w:rsid w:val="44F32FB8"/>
    <w:rsid w:val="44F85C75"/>
    <w:rsid w:val="44FF38B3"/>
    <w:rsid w:val="450C32D1"/>
    <w:rsid w:val="45117BCB"/>
    <w:rsid w:val="452F78E8"/>
    <w:rsid w:val="45393FE2"/>
    <w:rsid w:val="453A3D5A"/>
    <w:rsid w:val="454B22CD"/>
    <w:rsid w:val="455E543A"/>
    <w:rsid w:val="456526DC"/>
    <w:rsid w:val="456B6252"/>
    <w:rsid w:val="45774876"/>
    <w:rsid w:val="45830823"/>
    <w:rsid w:val="45862A66"/>
    <w:rsid w:val="4587771A"/>
    <w:rsid w:val="458B6AE9"/>
    <w:rsid w:val="45912560"/>
    <w:rsid w:val="45923676"/>
    <w:rsid w:val="459B6D2C"/>
    <w:rsid w:val="45AF08BA"/>
    <w:rsid w:val="45BA3A4B"/>
    <w:rsid w:val="45BB0276"/>
    <w:rsid w:val="45C168FC"/>
    <w:rsid w:val="45C269A9"/>
    <w:rsid w:val="45CA5863"/>
    <w:rsid w:val="45E42AD7"/>
    <w:rsid w:val="45E44565"/>
    <w:rsid w:val="45ED675F"/>
    <w:rsid w:val="45FB6FE8"/>
    <w:rsid w:val="45FE6567"/>
    <w:rsid w:val="46004DE1"/>
    <w:rsid w:val="460F771A"/>
    <w:rsid w:val="46177320"/>
    <w:rsid w:val="461F1D4F"/>
    <w:rsid w:val="46226875"/>
    <w:rsid w:val="46317741"/>
    <w:rsid w:val="46383B0F"/>
    <w:rsid w:val="46450A93"/>
    <w:rsid w:val="464B7691"/>
    <w:rsid w:val="464F1BEA"/>
    <w:rsid w:val="46510993"/>
    <w:rsid w:val="465E2B27"/>
    <w:rsid w:val="4660270E"/>
    <w:rsid w:val="46647097"/>
    <w:rsid w:val="4672717E"/>
    <w:rsid w:val="46761D34"/>
    <w:rsid w:val="46767799"/>
    <w:rsid w:val="46792680"/>
    <w:rsid w:val="46843C64"/>
    <w:rsid w:val="468A7785"/>
    <w:rsid w:val="468D27B6"/>
    <w:rsid w:val="468D510C"/>
    <w:rsid w:val="46935C55"/>
    <w:rsid w:val="469462AC"/>
    <w:rsid w:val="46A14816"/>
    <w:rsid w:val="46A55988"/>
    <w:rsid w:val="46A80D82"/>
    <w:rsid w:val="46AB7443"/>
    <w:rsid w:val="46AD46D2"/>
    <w:rsid w:val="46B26810"/>
    <w:rsid w:val="46BA1434"/>
    <w:rsid w:val="46BB7BAE"/>
    <w:rsid w:val="46BF304B"/>
    <w:rsid w:val="46CB0396"/>
    <w:rsid w:val="46CB3B16"/>
    <w:rsid w:val="46DB13AA"/>
    <w:rsid w:val="46DB2E7F"/>
    <w:rsid w:val="46E94533"/>
    <w:rsid w:val="46E97115"/>
    <w:rsid w:val="46EA34E6"/>
    <w:rsid w:val="46F506BE"/>
    <w:rsid w:val="46F575B9"/>
    <w:rsid w:val="46F909AA"/>
    <w:rsid w:val="46FF6008"/>
    <w:rsid w:val="470457E6"/>
    <w:rsid w:val="47094169"/>
    <w:rsid w:val="471658D7"/>
    <w:rsid w:val="47174AD8"/>
    <w:rsid w:val="47185071"/>
    <w:rsid w:val="471861C1"/>
    <w:rsid w:val="471B7567"/>
    <w:rsid w:val="472530E4"/>
    <w:rsid w:val="472936D2"/>
    <w:rsid w:val="472B40E0"/>
    <w:rsid w:val="47307DD7"/>
    <w:rsid w:val="47376D57"/>
    <w:rsid w:val="473A07C7"/>
    <w:rsid w:val="473C1E11"/>
    <w:rsid w:val="473E3FFB"/>
    <w:rsid w:val="473F409F"/>
    <w:rsid w:val="4741268A"/>
    <w:rsid w:val="474449A0"/>
    <w:rsid w:val="47496A9E"/>
    <w:rsid w:val="474C23A8"/>
    <w:rsid w:val="475029D2"/>
    <w:rsid w:val="475603F6"/>
    <w:rsid w:val="47571378"/>
    <w:rsid w:val="47631EC1"/>
    <w:rsid w:val="47642037"/>
    <w:rsid w:val="47656905"/>
    <w:rsid w:val="47685334"/>
    <w:rsid w:val="47722A18"/>
    <w:rsid w:val="47737A6D"/>
    <w:rsid w:val="47741D0C"/>
    <w:rsid w:val="477C493B"/>
    <w:rsid w:val="47841B24"/>
    <w:rsid w:val="478622F2"/>
    <w:rsid w:val="47876B9F"/>
    <w:rsid w:val="478A6996"/>
    <w:rsid w:val="478F54C6"/>
    <w:rsid w:val="479236A7"/>
    <w:rsid w:val="47953EA1"/>
    <w:rsid w:val="47985C20"/>
    <w:rsid w:val="479869DC"/>
    <w:rsid w:val="47A213C0"/>
    <w:rsid w:val="47AA76FA"/>
    <w:rsid w:val="47AD2D46"/>
    <w:rsid w:val="47B4036E"/>
    <w:rsid w:val="47B76453"/>
    <w:rsid w:val="47B936D4"/>
    <w:rsid w:val="47C2640D"/>
    <w:rsid w:val="47CA5946"/>
    <w:rsid w:val="47D6229D"/>
    <w:rsid w:val="47DA76D3"/>
    <w:rsid w:val="47DC4284"/>
    <w:rsid w:val="47DF7B1C"/>
    <w:rsid w:val="47E8372E"/>
    <w:rsid w:val="47F21EF0"/>
    <w:rsid w:val="47F5197C"/>
    <w:rsid w:val="47F95DB7"/>
    <w:rsid w:val="481D120F"/>
    <w:rsid w:val="482105C0"/>
    <w:rsid w:val="48211E7E"/>
    <w:rsid w:val="482F2480"/>
    <w:rsid w:val="48342F88"/>
    <w:rsid w:val="483510C7"/>
    <w:rsid w:val="48477862"/>
    <w:rsid w:val="485C39F4"/>
    <w:rsid w:val="485F4BAA"/>
    <w:rsid w:val="4862142D"/>
    <w:rsid w:val="48626E30"/>
    <w:rsid w:val="48636ED0"/>
    <w:rsid w:val="48680479"/>
    <w:rsid w:val="487835F2"/>
    <w:rsid w:val="487C274E"/>
    <w:rsid w:val="48952A5D"/>
    <w:rsid w:val="489701E4"/>
    <w:rsid w:val="489839F7"/>
    <w:rsid w:val="489C5552"/>
    <w:rsid w:val="489D3C05"/>
    <w:rsid w:val="48AB0568"/>
    <w:rsid w:val="48AF7082"/>
    <w:rsid w:val="48B00D40"/>
    <w:rsid w:val="48B23A8E"/>
    <w:rsid w:val="48C170BE"/>
    <w:rsid w:val="48CD0CC0"/>
    <w:rsid w:val="48D53C4F"/>
    <w:rsid w:val="48D949EA"/>
    <w:rsid w:val="48F52BF7"/>
    <w:rsid w:val="48F73D54"/>
    <w:rsid w:val="49037C95"/>
    <w:rsid w:val="4905290C"/>
    <w:rsid w:val="49063785"/>
    <w:rsid w:val="490868B8"/>
    <w:rsid w:val="491C0184"/>
    <w:rsid w:val="491C548A"/>
    <w:rsid w:val="491D1B81"/>
    <w:rsid w:val="492F531F"/>
    <w:rsid w:val="492F6636"/>
    <w:rsid w:val="492F7E36"/>
    <w:rsid w:val="493354CD"/>
    <w:rsid w:val="49396F88"/>
    <w:rsid w:val="493C0826"/>
    <w:rsid w:val="49405D5E"/>
    <w:rsid w:val="4948541D"/>
    <w:rsid w:val="494D2A33"/>
    <w:rsid w:val="49561E92"/>
    <w:rsid w:val="4961028C"/>
    <w:rsid w:val="496109D3"/>
    <w:rsid w:val="49673563"/>
    <w:rsid w:val="496A1DB8"/>
    <w:rsid w:val="4971045B"/>
    <w:rsid w:val="4979031F"/>
    <w:rsid w:val="497976FA"/>
    <w:rsid w:val="4980571E"/>
    <w:rsid w:val="49833A3E"/>
    <w:rsid w:val="49896678"/>
    <w:rsid w:val="49910E1C"/>
    <w:rsid w:val="49AE68B8"/>
    <w:rsid w:val="49B274AE"/>
    <w:rsid w:val="49B609BA"/>
    <w:rsid w:val="49C60139"/>
    <w:rsid w:val="49C63B01"/>
    <w:rsid w:val="49E6704C"/>
    <w:rsid w:val="49EE6A1F"/>
    <w:rsid w:val="49EF23AD"/>
    <w:rsid w:val="49F14CC3"/>
    <w:rsid w:val="49FD0DD8"/>
    <w:rsid w:val="49FD6413"/>
    <w:rsid w:val="4A087357"/>
    <w:rsid w:val="4A0B1FA6"/>
    <w:rsid w:val="4A0C39A3"/>
    <w:rsid w:val="4A0D21C2"/>
    <w:rsid w:val="4A1B1F00"/>
    <w:rsid w:val="4A2512BA"/>
    <w:rsid w:val="4A2F5C12"/>
    <w:rsid w:val="4A301A0D"/>
    <w:rsid w:val="4A3D4FF8"/>
    <w:rsid w:val="4A3F629B"/>
    <w:rsid w:val="4A416D23"/>
    <w:rsid w:val="4A4C7AB7"/>
    <w:rsid w:val="4A4E49EC"/>
    <w:rsid w:val="4A541B9F"/>
    <w:rsid w:val="4A546A31"/>
    <w:rsid w:val="4A691BA3"/>
    <w:rsid w:val="4A6F4573"/>
    <w:rsid w:val="4A75264F"/>
    <w:rsid w:val="4A7D4C52"/>
    <w:rsid w:val="4A7F6A22"/>
    <w:rsid w:val="4A835FE1"/>
    <w:rsid w:val="4A8622B6"/>
    <w:rsid w:val="4A8F0E29"/>
    <w:rsid w:val="4A9401EE"/>
    <w:rsid w:val="4A9439D1"/>
    <w:rsid w:val="4AA13962"/>
    <w:rsid w:val="4AAF6DD6"/>
    <w:rsid w:val="4AB64608"/>
    <w:rsid w:val="4AB80EF1"/>
    <w:rsid w:val="4AC777A1"/>
    <w:rsid w:val="4ACC7988"/>
    <w:rsid w:val="4ACF2AC4"/>
    <w:rsid w:val="4ADB40EF"/>
    <w:rsid w:val="4ADD4949"/>
    <w:rsid w:val="4ADF497B"/>
    <w:rsid w:val="4AE86A3E"/>
    <w:rsid w:val="4AF331A0"/>
    <w:rsid w:val="4AF7270C"/>
    <w:rsid w:val="4AF81756"/>
    <w:rsid w:val="4AFB4707"/>
    <w:rsid w:val="4B037587"/>
    <w:rsid w:val="4B0C10BD"/>
    <w:rsid w:val="4B15132F"/>
    <w:rsid w:val="4B1D6F30"/>
    <w:rsid w:val="4B201A81"/>
    <w:rsid w:val="4B33627A"/>
    <w:rsid w:val="4B356505"/>
    <w:rsid w:val="4B3A331C"/>
    <w:rsid w:val="4B3C501C"/>
    <w:rsid w:val="4B3D32A5"/>
    <w:rsid w:val="4B425199"/>
    <w:rsid w:val="4B503E7D"/>
    <w:rsid w:val="4B5526A6"/>
    <w:rsid w:val="4B5F0424"/>
    <w:rsid w:val="4B6140D7"/>
    <w:rsid w:val="4B6A739A"/>
    <w:rsid w:val="4B6B2FC4"/>
    <w:rsid w:val="4B720A2E"/>
    <w:rsid w:val="4B816AF3"/>
    <w:rsid w:val="4B84080B"/>
    <w:rsid w:val="4B885FA4"/>
    <w:rsid w:val="4B9366F7"/>
    <w:rsid w:val="4B983D0E"/>
    <w:rsid w:val="4B985ABC"/>
    <w:rsid w:val="4BA104E1"/>
    <w:rsid w:val="4BB74194"/>
    <w:rsid w:val="4BBA5C6F"/>
    <w:rsid w:val="4BC3761F"/>
    <w:rsid w:val="4BC84812"/>
    <w:rsid w:val="4BD5286C"/>
    <w:rsid w:val="4BE83C66"/>
    <w:rsid w:val="4BEE2702"/>
    <w:rsid w:val="4BEF7DD1"/>
    <w:rsid w:val="4BF03667"/>
    <w:rsid w:val="4BF1539E"/>
    <w:rsid w:val="4BFE7D23"/>
    <w:rsid w:val="4C0D46FC"/>
    <w:rsid w:val="4C0D69A5"/>
    <w:rsid w:val="4C114E73"/>
    <w:rsid w:val="4C1D41C6"/>
    <w:rsid w:val="4C276414"/>
    <w:rsid w:val="4C290FBB"/>
    <w:rsid w:val="4C2F01CE"/>
    <w:rsid w:val="4C30348B"/>
    <w:rsid w:val="4C457E06"/>
    <w:rsid w:val="4C486022"/>
    <w:rsid w:val="4C4D09F6"/>
    <w:rsid w:val="4C533964"/>
    <w:rsid w:val="4C561AA4"/>
    <w:rsid w:val="4C564748"/>
    <w:rsid w:val="4C5653EF"/>
    <w:rsid w:val="4C58759F"/>
    <w:rsid w:val="4C6E490F"/>
    <w:rsid w:val="4C6E57B5"/>
    <w:rsid w:val="4C7A3E0A"/>
    <w:rsid w:val="4C9130F6"/>
    <w:rsid w:val="4C992C68"/>
    <w:rsid w:val="4C9A24A5"/>
    <w:rsid w:val="4C9A35A9"/>
    <w:rsid w:val="4C9A5BA3"/>
    <w:rsid w:val="4CB30DFF"/>
    <w:rsid w:val="4CB4751A"/>
    <w:rsid w:val="4CC80B32"/>
    <w:rsid w:val="4CCF0CFC"/>
    <w:rsid w:val="4CD36081"/>
    <w:rsid w:val="4CD6192E"/>
    <w:rsid w:val="4CD715B6"/>
    <w:rsid w:val="4CE34671"/>
    <w:rsid w:val="4CE7633D"/>
    <w:rsid w:val="4CF17B79"/>
    <w:rsid w:val="4CFE58B7"/>
    <w:rsid w:val="4D022BD1"/>
    <w:rsid w:val="4D0D5045"/>
    <w:rsid w:val="4D0F534D"/>
    <w:rsid w:val="4D1220D9"/>
    <w:rsid w:val="4D135839"/>
    <w:rsid w:val="4D144D0B"/>
    <w:rsid w:val="4D21045F"/>
    <w:rsid w:val="4D241DA1"/>
    <w:rsid w:val="4D2874FB"/>
    <w:rsid w:val="4D3161C8"/>
    <w:rsid w:val="4D3925A5"/>
    <w:rsid w:val="4D3B252B"/>
    <w:rsid w:val="4D48415D"/>
    <w:rsid w:val="4D4960D1"/>
    <w:rsid w:val="4D694853"/>
    <w:rsid w:val="4D6E3730"/>
    <w:rsid w:val="4D761DF4"/>
    <w:rsid w:val="4D7D0B22"/>
    <w:rsid w:val="4D803811"/>
    <w:rsid w:val="4D964BDE"/>
    <w:rsid w:val="4D9D16E6"/>
    <w:rsid w:val="4DA22F6F"/>
    <w:rsid w:val="4DA366F2"/>
    <w:rsid w:val="4DA65D61"/>
    <w:rsid w:val="4DA74E33"/>
    <w:rsid w:val="4DA82C5E"/>
    <w:rsid w:val="4DA90ECF"/>
    <w:rsid w:val="4DAB7D28"/>
    <w:rsid w:val="4DB90D53"/>
    <w:rsid w:val="4DC25072"/>
    <w:rsid w:val="4DC43E1F"/>
    <w:rsid w:val="4DC5673B"/>
    <w:rsid w:val="4DCA651D"/>
    <w:rsid w:val="4DCB2178"/>
    <w:rsid w:val="4DD455C4"/>
    <w:rsid w:val="4DD52FF7"/>
    <w:rsid w:val="4DE94367"/>
    <w:rsid w:val="4DEE1BA4"/>
    <w:rsid w:val="4DF25957"/>
    <w:rsid w:val="4DF85277"/>
    <w:rsid w:val="4DFC5B74"/>
    <w:rsid w:val="4E00643A"/>
    <w:rsid w:val="4E1A5E9B"/>
    <w:rsid w:val="4E204F8C"/>
    <w:rsid w:val="4E206385"/>
    <w:rsid w:val="4E220315"/>
    <w:rsid w:val="4E2B750E"/>
    <w:rsid w:val="4E372CEF"/>
    <w:rsid w:val="4E5057CD"/>
    <w:rsid w:val="4E525C89"/>
    <w:rsid w:val="4E5F70ED"/>
    <w:rsid w:val="4E6C7842"/>
    <w:rsid w:val="4E710F72"/>
    <w:rsid w:val="4E712D20"/>
    <w:rsid w:val="4E716DD6"/>
    <w:rsid w:val="4E7D41EF"/>
    <w:rsid w:val="4E8743CF"/>
    <w:rsid w:val="4E8A19A2"/>
    <w:rsid w:val="4EA73499"/>
    <w:rsid w:val="4EAF6660"/>
    <w:rsid w:val="4EB3274A"/>
    <w:rsid w:val="4EB33338"/>
    <w:rsid w:val="4EB42C0C"/>
    <w:rsid w:val="4EC112A5"/>
    <w:rsid w:val="4EC15329"/>
    <w:rsid w:val="4EC27DC2"/>
    <w:rsid w:val="4EC55A56"/>
    <w:rsid w:val="4ECC6563"/>
    <w:rsid w:val="4ECC7680"/>
    <w:rsid w:val="4ECD7A91"/>
    <w:rsid w:val="4ED5661F"/>
    <w:rsid w:val="4EE33A64"/>
    <w:rsid w:val="4EE520BF"/>
    <w:rsid w:val="4EEA667A"/>
    <w:rsid w:val="4EEC2511"/>
    <w:rsid w:val="4EFE20DA"/>
    <w:rsid w:val="4F0516BA"/>
    <w:rsid w:val="4F05494C"/>
    <w:rsid w:val="4F0D50A9"/>
    <w:rsid w:val="4F11126D"/>
    <w:rsid w:val="4F1A62E3"/>
    <w:rsid w:val="4F1E19C9"/>
    <w:rsid w:val="4F20737B"/>
    <w:rsid w:val="4F254CD6"/>
    <w:rsid w:val="4F2E6E63"/>
    <w:rsid w:val="4F311C64"/>
    <w:rsid w:val="4F460289"/>
    <w:rsid w:val="4F473CD7"/>
    <w:rsid w:val="4F474CB8"/>
    <w:rsid w:val="4F5D32F2"/>
    <w:rsid w:val="4F737BC5"/>
    <w:rsid w:val="4F8306AF"/>
    <w:rsid w:val="4F897829"/>
    <w:rsid w:val="4F8B21F9"/>
    <w:rsid w:val="4F970DE9"/>
    <w:rsid w:val="4F971FC4"/>
    <w:rsid w:val="4F974A08"/>
    <w:rsid w:val="4F985CD1"/>
    <w:rsid w:val="4FA5268C"/>
    <w:rsid w:val="4FAE3B00"/>
    <w:rsid w:val="4FC804D5"/>
    <w:rsid w:val="4FC96B8B"/>
    <w:rsid w:val="4FCC1A25"/>
    <w:rsid w:val="4FCD042A"/>
    <w:rsid w:val="4FDD6723"/>
    <w:rsid w:val="4FDF63AF"/>
    <w:rsid w:val="4FDF78E9"/>
    <w:rsid w:val="4FF22676"/>
    <w:rsid w:val="4FF5172F"/>
    <w:rsid w:val="4FFE1B06"/>
    <w:rsid w:val="50006F99"/>
    <w:rsid w:val="50047F66"/>
    <w:rsid w:val="500A40D7"/>
    <w:rsid w:val="501A0C8E"/>
    <w:rsid w:val="501A122A"/>
    <w:rsid w:val="501A2F43"/>
    <w:rsid w:val="502138A5"/>
    <w:rsid w:val="50247920"/>
    <w:rsid w:val="502E57D9"/>
    <w:rsid w:val="505A51B9"/>
    <w:rsid w:val="505A67EB"/>
    <w:rsid w:val="50654940"/>
    <w:rsid w:val="506D540C"/>
    <w:rsid w:val="50700DB5"/>
    <w:rsid w:val="50750658"/>
    <w:rsid w:val="50765757"/>
    <w:rsid w:val="507B60D8"/>
    <w:rsid w:val="50827466"/>
    <w:rsid w:val="508C15FC"/>
    <w:rsid w:val="508D1967"/>
    <w:rsid w:val="509C3829"/>
    <w:rsid w:val="509E5922"/>
    <w:rsid w:val="50B63FD8"/>
    <w:rsid w:val="50B777F0"/>
    <w:rsid w:val="50BB47E0"/>
    <w:rsid w:val="50BD18A9"/>
    <w:rsid w:val="50C46BEE"/>
    <w:rsid w:val="50D37CC2"/>
    <w:rsid w:val="50D92558"/>
    <w:rsid w:val="50D94705"/>
    <w:rsid w:val="50DF2385"/>
    <w:rsid w:val="50E33CEC"/>
    <w:rsid w:val="50F24380"/>
    <w:rsid w:val="50FC73BD"/>
    <w:rsid w:val="5104794E"/>
    <w:rsid w:val="510F1A3E"/>
    <w:rsid w:val="510F4A72"/>
    <w:rsid w:val="511C56B7"/>
    <w:rsid w:val="511D153D"/>
    <w:rsid w:val="51205FD8"/>
    <w:rsid w:val="51363DAD"/>
    <w:rsid w:val="513C4376"/>
    <w:rsid w:val="51433D5D"/>
    <w:rsid w:val="51435D0C"/>
    <w:rsid w:val="51446169"/>
    <w:rsid w:val="514F6D7D"/>
    <w:rsid w:val="51654692"/>
    <w:rsid w:val="516B6A17"/>
    <w:rsid w:val="516E22FB"/>
    <w:rsid w:val="517765FC"/>
    <w:rsid w:val="517A638F"/>
    <w:rsid w:val="518202C7"/>
    <w:rsid w:val="519332E3"/>
    <w:rsid w:val="519A032B"/>
    <w:rsid w:val="519D4FB2"/>
    <w:rsid w:val="519E21FD"/>
    <w:rsid w:val="51AA50F9"/>
    <w:rsid w:val="51AF10C4"/>
    <w:rsid w:val="51B06B92"/>
    <w:rsid w:val="51B07591"/>
    <w:rsid w:val="51B43002"/>
    <w:rsid w:val="51B57B6D"/>
    <w:rsid w:val="51B839E6"/>
    <w:rsid w:val="51BB1A11"/>
    <w:rsid w:val="51BD6C11"/>
    <w:rsid w:val="51CD2E5F"/>
    <w:rsid w:val="51D07D5D"/>
    <w:rsid w:val="51D535C6"/>
    <w:rsid w:val="51DA58AE"/>
    <w:rsid w:val="51DB5821"/>
    <w:rsid w:val="51DD376A"/>
    <w:rsid w:val="51E5449B"/>
    <w:rsid w:val="51E66508"/>
    <w:rsid w:val="51E847AF"/>
    <w:rsid w:val="51EA7907"/>
    <w:rsid w:val="51F7178E"/>
    <w:rsid w:val="52017EFE"/>
    <w:rsid w:val="521E5FFD"/>
    <w:rsid w:val="522D3F63"/>
    <w:rsid w:val="52353550"/>
    <w:rsid w:val="524450A3"/>
    <w:rsid w:val="52483D98"/>
    <w:rsid w:val="52510CC8"/>
    <w:rsid w:val="52583CBA"/>
    <w:rsid w:val="525E35BB"/>
    <w:rsid w:val="525F5585"/>
    <w:rsid w:val="52643FB3"/>
    <w:rsid w:val="5264494A"/>
    <w:rsid w:val="526E0E00"/>
    <w:rsid w:val="5270414C"/>
    <w:rsid w:val="52952D55"/>
    <w:rsid w:val="529C039C"/>
    <w:rsid w:val="52A31916"/>
    <w:rsid w:val="52B0193D"/>
    <w:rsid w:val="52B224F0"/>
    <w:rsid w:val="52B41F04"/>
    <w:rsid w:val="52B6366E"/>
    <w:rsid w:val="52C3626A"/>
    <w:rsid w:val="52C660C9"/>
    <w:rsid w:val="52C91BA0"/>
    <w:rsid w:val="52CD24EF"/>
    <w:rsid w:val="52CF29D7"/>
    <w:rsid w:val="52D94139"/>
    <w:rsid w:val="52E3567F"/>
    <w:rsid w:val="52ED06D4"/>
    <w:rsid w:val="52F331C3"/>
    <w:rsid w:val="52F93FBF"/>
    <w:rsid w:val="53001BB3"/>
    <w:rsid w:val="530028C4"/>
    <w:rsid w:val="53024A4D"/>
    <w:rsid w:val="530265E4"/>
    <w:rsid w:val="530A0C1B"/>
    <w:rsid w:val="53135EC7"/>
    <w:rsid w:val="53143779"/>
    <w:rsid w:val="531B3817"/>
    <w:rsid w:val="53264D65"/>
    <w:rsid w:val="532931AC"/>
    <w:rsid w:val="532F0995"/>
    <w:rsid w:val="532F74D8"/>
    <w:rsid w:val="5334431C"/>
    <w:rsid w:val="53431E6B"/>
    <w:rsid w:val="534555A6"/>
    <w:rsid w:val="53501B3A"/>
    <w:rsid w:val="5367646B"/>
    <w:rsid w:val="536C1D18"/>
    <w:rsid w:val="537514ED"/>
    <w:rsid w:val="537D2167"/>
    <w:rsid w:val="53815461"/>
    <w:rsid w:val="53987838"/>
    <w:rsid w:val="539D45B7"/>
    <w:rsid w:val="539E2F53"/>
    <w:rsid w:val="53A56FC8"/>
    <w:rsid w:val="53AB168D"/>
    <w:rsid w:val="53AD1FC2"/>
    <w:rsid w:val="53B07B30"/>
    <w:rsid w:val="53B4545D"/>
    <w:rsid w:val="53C102A5"/>
    <w:rsid w:val="53CD3590"/>
    <w:rsid w:val="53D23837"/>
    <w:rsid w:val="53D32C63"/>
    <w:rsid w:val="53DE6F83"/>
    <w:rsid w:val="53E17EA9"/>
    <w:rsid w:val="53EF3446"/>
    <w:rsid w:val="53F01264"/>
    <w:rsid w:val="53F82DF0"/>
    <w:rsid w:val="53FA37B7"/>
    <w:rsid w:val="53FA5565"/>
    <w:rsid w:val="53FC0EC4"/>
    <w:rsid w:val="5400395F"/>
    <w:rsid w:val="54062707"/>
    <w:rsid w:val="54077C82"/>
    <w:rsid w:val="540E194F"/>
    <w:rsid w:val="541233D7"/>
    <w:rsid w:val="5414737F"/>
    <w:rsid w:val="541C389D"/>
    <w:rsid w:val="541F29DD"/>
    <w:rsid w:val="5422041B"/>
    <w:rsid w:val="542B3971"/>
    <w:rsid w:val="5448592B"/>
    <w:rsid w:val="544B7B6F"/>
    <w:rsid w:val="544C7BFD"/>
    <w:rsid w:val="545029C2"/>
    <w:rsid w:val="5450301F"/>
    <w:rsid w:val="5450471C"/>
    <w:rsid w:val="545B7CBD"/>
    <w:rsid w:val="545F471D"/>
    <w:rsid w:val="54644D9B"/>
    <w:rsid w:val="54692F42"/>
    <w:rsid w:val="546A3A38"/>
    <w:rsid w:val="546E3ADE"/>
    <w:rsid w:val="54736A86"/>
    <w:rsid w:val="547651B8"/>
    <w:rsid w:val="54780EBC"/>
    <w:rsid w:val="547F33FC"/>
    <w:rsid w:val="548379B4"/>
    <w:rsid w:val="549A4A45"/>
    <w:rsid w:val="549B2301"/>
    <w:rsid w:val="54A72293"/>
    <w:rsid w:val="54A84FC1"/>
    <w:rsid w:val="54A91A03"/>
    <w:rsid w:val="54C2646B"/>
    <w:rsid w:val="54C72B03"/>
    <w:rsid w:val="54CC69D9"/>
    <w:rsid w:val="54CC7FC3"/>
    <w:rsid w:val="54CD0339"/>
    <w:rsid w:val="54D65F23"/>
    <w:rsid w:val="54E94703"/>
    <w:rsid w:val="54EA17CF"/>
    <w:rsid w:val="54EF0AAE"/>
    <w:rsid w:val="54F054D4"/>
    <w:rsid w:val="54F647EB"/>
    <w:rsid w:val="54F77F3B"/>
    <w:rsid w:val="54F9507D"/>
    <w:rsid w:val="5503044A"/>
    <w:rsid w:val="550541C2"/>
    <w:rsid w:val="55072FB0"/>
    <w:rsid w:val="55090AE5"/>
    <w:rsid w:val="551268DF"/>
    <w:rsid w:val="5518442B"/>
    <w:rsid w:val="5522648E"/>
    <w:rsid w:val="55257673"/>
    <w:rsid w:val="552611B1"/>
    <w:rsid w:val="55262A58"/>
    <w:rsid w:val="55316CD7"/>
    <w:rsid w:val="553271D3"/>
    <w:rsid w:val="5536081F"/>
    <w:rsid w:val="5537062A"/>
    <w:rsid w:val="55425E7B"/>
    <w:rsid w:val="55434CEA"/>
    <w:rsid w:val="554B700A"/>
    <w:rsid w:val="554F2666"/>
    <w:rsid w:val="554F7B33"/>
    <w:rsid w:val="55546EF7"/>
    <w:rsid w:val="55564A1D"/>
    <w:rsid w:val="556C60B3"/>
    <w:rsid w:val="55754E2B"/>
    <w:rsid w:val="55945D37"/>
    <w:rsid w:val="55A45A21"/>
    <w:rsid w:val="55A97E56"/>
    <w:rsid w:val="55AA0F8C"/>
    <w:rsid w:val="55B77BA9"/>
    <w:rsid w:val="55C87E5B"/>
    <w:rsid w:val="55CD5E8D"/>
    <w:rsid w:val="55DB4561"/>
    <w:rsid w:val="55DC0F43"/>
    <w:rsid w:val="55E4027B"/>
    <w:rsid w:val="55EB1F25"/>
    <w:rsid w:val="55EE0C26"/>
    <w:rsid w:val="55EE38D8"/>
    <w:rsid w:val="56177866"/>
    <w:rsid w:val="561A04E3"/>
    <w:rsid w:val="56294E4A"/>
    <w:rsid w:val="562F774B"/>
    <w:rsid w:val="563E5AB2"/>
    <w:rsid w:val="563F540E"/>
    <w:rsid w:val="564054AC"/>
    <w:rsid w:val="564414E3"/>
    <w:rsid w:val="564C522B"/>
    <w:rsid w:val="56551179"/>
    <w:rsid w:val="565C42B5"/>
    <w:rsid w:val="56602CE9"/>
    <w:rsid w:val="566118CC"/>
    <w:rsid w:val="566148C6"/>
    <w:rsid w:val="567B7BFD"/>
    <w:rsid w:val="568850AA"/>
    <w:rsid w:val="56974290"/>
    <w:rsid w:val="56986987"/>
    <w:rsid w:val="569E667C"/>
    <w:rsid w:val="56A501F8"/>
    <w:rsid w:val="56B67C5D"/>
    <w:rsid w:val="56C055FC"/>
    <w:rsid w:val="56C92B53"/>
    <w:rsid w:val="56CB143B"/>
    <w:rsid w:val="56CC638C"/>
    <w:rsid w:val="56D3410E"/>
    <w:rsid w:val="56D51BC3"/>
    <w:rsid w:val="56DB67A7"/>
    <w:rsid w:val="56E556D3"/>
    <w:rsid w:val="56EB73E7"/>
    <w:rsid w:val="56EF34E3"/>
    <w:rsid w:val="56F049FE"/>
    <w:rsid w:val="56F33E8F"/>
    <w:rsid w:val="56FB37AA"/>
    <w:rsid w:val="56FC6F89"/>
    <w:rsid w:val="570D273C"/>
    <w:rsid w:val="57105B1C"/>
    <w:rsid w:val="571E1E61"/>
    <w:rsid w:val="57302766"/>
    <w:rsid w:val="573518D3"/>
    <w:rsid w:val="57501DED"/>
    <w:rsid w:val="575A1028"/>
    <w:rsid w:val="57634140"/>
    <w:rsid w:val="576524BB"/>
    <w:rsid w:val="576D6D93"/>
    <w:rsid w:val="577E6A3F"/>
    <w:rsid w:val="577F5FA9"/>
    <w:rsid w:val="577F68C1"/>
    <w:rsid w:val="57812F5F"/>
    <w:rsid w:val="57931F59"/>
    <w:rsid w:val="57A1557A"/>
    <w:rsid w:val="57A16858"/>
    <w:rsid w:val="57AC250F"/>
    <w:rsid w:val="57C24C91"/>
    <w:rsid w:val="57CF2668"/>
    <w:rsid w:val="57D20CF9"/>
    <w:rsid w:val="57E52ADF"/>
    <w:rsid w:val="57E70737"/>
    <w:rsid w:val="57EA2A94"/>
    <w:rsid w:val="57EC1669"/>
    <w:rsid w:val="57EE6662"/>
    <w:rsid w:val="57EF2F07"/>
    <w:rsid w:val="57FC57BD"/>
    <w:rsid w:val="57FF6155"/>
    <w:rsid w:val="580140A6"/>
    <w:rsid w:val="58020E8D"/>
    <w:rsid w:val="5805272B"/>
    <w:rsid w:val="580B6E3C"/>
    <w:rsid w:val="580C1C8E"/>
    <w:rsid w:val="580D7D81"/>
    <w:rsid w:val="58120B37"/>
    <w:rsid w:val="58131D55"/>
    <w:rsid w:val="581E62DD"/>
    <w:rsid w:val="58291B84"/>
    <w:rsid w:val="58331046"/>
    <w:rsid w:val="58342026"/>
    <w:rsid w:val="58462CFB"/>
    <w:rsid w:val="585673E9"/>
    <w:rsid w:val="585A65D3"/>
    <w:rsid w:val="58613E05"/>
    <w:rsid w:val="58623049"/>
    <w:rsid w:val="586A54CE"/>
    <w:rsid w:val="586C3CC6"/>
    <w:rsid w:val="58783CFA"/>
    <w:rsid w:val="587B52C1"/>
    <w:rsid w:val="588D4442"/>
    <w:rsid w:val="588E0972"/>
    <w:rsid w:val="58922210"/>
    <w:rsid w:val="58951088"/>
    <w:rsid w:val="58980404"/>
    <w:rsid w:val="58990FC0"/>
    <w:rsid w:val="58A14C54"/>
    <w:rsid w:val="58A41AE5"/>
    <w:rsid w:val="58A64233"/>
    <w:rsid w:val="58A837E2"/>
    <w:rsid w:val="58AF4435"/>
    <w:rsid w:val="58BA52C3"/>
    <w:rsid w:val="58BB3DC0"/>
    <w:rsid w:val="58C07FBB"/>
    <w:rsid w:val="58CC1EB8"/>
    <w:rsid w:val="58CF5213"/>
    <w:rsid w:val="58D1792B"/>
    <w:rsid w:val="58D95B4A"/>
    <w:rsid w:val="58DD409B"/>
    <w:rsid w:val="58E236F3"/>
    <w:rsid w:val="58E6255C"/>
    <w:rsid w:val="58F015D0"/>
    <w:rsid w:val="58FE78A6"/>
    <w:rsid w:val="59055067"/>
    <w:rsid w:val="59056087"/>
    <w:rsid w:val="5906339C"/>
    <w:rsid w:val="59113E09"/>
    <w:rsid w:val="59131292"/>
    <w:rsid w:val="591730EE"/>
    <w:rsid w:val="59232A72"/>
    <w:rsid w:val="5925316F"/>
    <w:rsid w:val="5942577F"/>
    <w:rsid w:val="59511F8F"/>
    <w:rsid w:val="59580B22"/>
    <w:rsid w:val="596A0C5D"/>
    <w:rsid w:val="5988042A"/>
    <w:rsid w:val="599041ED"/>
    <w:rsid w:val="59912541"/>
    <w:rsid w:val="59924FF5"/>
    <w:rsid w:val="59950472"/>
    <w:rsid w:val="599817E8"/>
    <w:rsid w:val="59B56492"/>
    <w:rsid w:val="59B91A1F"/>
    <w:rsid w:val="59C35ACF"/>
    <w:rsid w:val="59C53B23"/>
    <w:rsid w:val="59D65B05"/>
    <w:rsid w:val="59ED3476"/>
    <w:rsid w:val="5A02182B"/>
    <w:rsid w:val="5A0D509A"/>
    <w:rsid w:val="5A0F7891"/>
    <w:rsid w:val="5A1B6236"/>
    <w:rsid w:val="5A221D44"/>
    <w:rsid w:val="5A2400DF"/>
    <w:rsid w:val="5A285981"/>
    <w:rsid w:val="5A347F30"/>
    <w:rsid w:val="5A38069B"/>
    <w:rsid w:val="5A511C57"/>
    <w:rsid w:val="5A5203BF"/>
    <w:rsid w:val="5A552EDD"/>
    <w:rsid w:val="5A587D48"/>
    <w:rsid w:val="5A6257DB"/>
    <w:rsid w:val="5A64740A"/>
    <w:rsid w:val="5A664CCE"/>
    <w:rsid w:val="5A737E20"/>
    <w:rsid w:val="5A746011"/>
    <w:rsid w:val="5A764626"/>
    <w:rsid w:val="5A7D0C9E"/>
    <w:rsid w:val="5A7D2A4C"/>
    <w:rsid w:val="5A8A5E83"/>
    <w:rsid w:val="5A8E6A07"/>
    <w:rsid w:val="5A9473B6"/>
    <w:rsid w:val="5AA20ED6"/>
    <w:rsid w:val="5AA423B5"/>
    <w:rsid w:val="5AA708CA"/>
    <w:rsid w:val="5AA775FF"/>
    <w:rsid w:val="5AAC551A"/>
    <w:rsid w:val="5AB37F0E"/>
    <w:rsid w:val="5AC02939"/>
    <w:rsid w:val="5AC508CD"/>
    <w:rsid w:val="5ADA3FE6"/>
    <w:rsid w:val="5AE824B9"/>
    <w:rsid w:val="5AE969BB"/>
    <w:rsid w:val="5AED2B97"/>
    <w:rsid w:val="5AF17F45"/>
    <w:rsid w:val="5AF26392"/>
    <w:rsid w:val="5AF37DCE"/>
    <w:rsid w:val="5AFD5309"/>
    <w:rsid w:val="5B04168A"/>
    <w:rsid w:val="5B102138"/>
    <w:rsid w:val="5B157129"/>
    <w:rsid w:val="5B21787C"/>
    <w:rsid w:val="5B2327FE"/>
    <w:rsid w:val="5B2A28AF"/>
    <w:rsid w:val="5B2D4026"/>
    <w:rsid w:val="5B3B4BE1"/>
    <w:rsid w:val="5B4672E2"/>
    <w:rsid w:val="5B4B20B5"/>
    <w:rsid w:val="5B4F263B"/>
    <w:rsid w:val="5B5C08B4"/>
    <w:rsid w:val="5B5E6F93"/>
    <w:rsid w:val="5B6160B4"/>
    <w:rsid w:val="5B661732"/>
    <w:rsid w:val="5B691244"/>
    <w:rsid w:val="5B7A672F"/>
    <w:rsid w:val="5B7C1860"/>
    <w:rsid w:val="5B7F50BF"/>
    <w:rsid w:val="5B867F38"/>
    <w:rsid w:val="5B9207A8"/>
    <w:rsid w:val="5B9E0ECC"/>
    <w:rsid w:val="5B9F7DAC"/>
    <w:rsid w:val="5BAC3A38"/>
    <w:rsid w:val="5BB77E50"/>
    <w:rsid w:val="5BBB37E1"/>
    <w:rsid w:val="5BBB3896"/>
    <w:rsid w:val="5BC052E6"/>
    <w:rsid w:val="5BD40D92"/>
    <w:rsid w:val="5BF22D70"/>
    <w:rsid w:val="5BF55195"/>
    <w:rsid w:val="5C021E11"/>
    <w:rsid w:val="5C0553DC"/>
    <w:rsid w:val="5C07081F"/>
    <w:rsid w:val="5C0C052C"/>
    <w:rsid w:val="5C0C53F2"/>
    <w:rsid w:val="5C111495"/>
    <w:rsid w:val="5C165947"/>
    <w:rsid w:val="5C1739FF"/>
    <w:rsid w:val="5C182B40"/>
    <w:rsid w:val="5C1949F7"/>
    <w:rsid w:val="5C1F7933"/>
    <w:rsid w:val="5C3405B2"/>
    <w:rsid w:val="5C4863C1"/>
    <w:rsid w:val="5C4E068B"/>
    <w:rsid w:val="5C602626"/>
    <w:rsid w:val="5C61437B"/>
    <w:rsid w:val="5C6922CA"/>
    <w:rsid w:val="5C6C3BD8"/>
    <w:rsid w:val="5C797243"/>
    <w:rsid w:val="5C7A6CC5"/>
    <w:rsid w:val="5C8956D8"/>
    <w:rsid w:val="5C8C06C1"/>
    <w:rsid w:val="5C992D62"/>
    <w:rsid w:val="5C9A1694"/>
    <w:rsid w:val="5C9D1184"/>
    <w:rsid w:val="5CAC6EDF"/>
    <w:rsid w:val="5CB02287"/>
    <w:rsid w:val="5CB4328D"/>
    <w:rsid w:val="5CC24B59"/>
    <w:rsid w:val="5CCC5196"/>
    <w:rsid w:val="5CDB4FE6"/>
    <w:rsid w:val="5CDF5473"/>
    <w:rsid w:val="5CE13766"/>
    <w:rsid w:val="5CEE5E83"/>
    <w:rsid w:val="5CEF6584"/>
    <w:rsid w:val="5CF71428"/>
    <w:rsid w:val="5D1773C9"/>
    <w:rsid w:val="5D1A6C78"/>
    <w:rsid w:val="5D1C02FB"/>
    <w:rsid w:val="5D254024"/>
    <w:rsid w:val="5D263CC4"/>
    <w:rsid w:val="5D292A17"/>
    <w:rsid w:val="5D2B6790"/>
    <w:rsid w:val="5D34149D"/>
    <w:rsid w:val="5D376789"/>
    <w:rsid w:val="5D3B5726"/>
    <w:rsid w:val="5D3F048D"/>
    <w:rsid w:val="5D445AA3"/>
    <w:rsid w:val="5D4601B1"/>
    <w:rsid w:val="5D494DBC"/>
    <w:rsid w:val="5D55588E"/>
    <w:rsid w:val="5D5A0839"/>
    <w:rsid w:val="5D5A4F29"/>
    <w:rsid w:val="5D67174C"/>
    <w:rsid w:val="5D703A41"/>
    <w:rsid w:val="5D786911"/>
    <w:rsid w:val="5D7A5CAC"/>
    <w:rsid w:val="5D7B0085"/>
    <w:rsid w:val="5D7B50D7"/>
    <w:rsid w:val="5D810AA5"/>
    <w:rsid w:val="5D811B5C"/>
    <w:rsid w:val="5D8660BC"/>
    <w:rsid w:val="5D971C5A"/>
    <w:rsid w:val="5D9A56C3"/>
    <w:rsid w:val="5DAB27C9"/>
    <w:rsid w:val="5DAF7B60"/>
    <w:rsid w:val="5DB46EC8"/>
    <w:rsid w:val="5DB61824"/>
    <w:rsid w:val="5DB91FED"/>
    <w:rsid w:val="5DC15346"/>
    <w:rsid w:val="5DC22429"/>
    <w:rsid w:val="5DCB6A18"/>
    <w:rsid w:val="5DD371C8"/>
    <w:rsid w:val="5DDB0AAD"/>
    <w:rsid w:val="5DF37C13"/>
    <w:rsid w:val="5DF84E51"/>
    <w:rsid w:val="5E156A90"/>
    <w:rsid w:val="5E211BF7"/>
    <w:rsid w:val="5E294CFC"/>
    <w:rsid w:val="5E337E3E"/>
    <w:rsid w:val="5E3564A3"/>
    <w:rsid w:val="5E386234"/>
    <w:rsid w:val="5E39617D"/>
    <w:rsid w:val="5E400076"/>
    <w:rsid w:val="5E4775F9"/>
    <w:rsid w:val="5E5A73BB"/>
    <w:rsid w:val="5E6572A9"/>
    <w:rsid w:val="5E6F4588"/>
    <w:rsid w:val="5E766ABA"/>
    <w:rsid w:val="5E783C56"/>
    <w:rsid w:val="5E790CA0"/>
    <w:rsid w:val="5E7945FC"/>
    <w:rsid w:val="5E930082"/>
    <w:rsid w:val="5E93121F"/>
    <w:rsid w:val="5E96232F"/>
    <w:rsid w:val="5EB351E3"/>
    <w:rsid w:val="5EB6009E"/>
    <w:rsid w:val="5EC43375"/>
    <w:rsid w:val="5ECB5E0F"/>
    <w:rsid w:val="5ED15115"/>
    <w:rsid w:val="5ED22BFF"/>
    <w:rsid w:val="5ED32946"/>
    <w:rsid w:val="5ED74E21"/>
    <w:rsid w:val="5EDD61AF"/>
    <w:rsid w:val="5EE278D0"/>
    <w:rsid w:val="5EE622DA"/>
    <w:rsid w:val="5F0454EA"/>
    <w:rsid w:val="5F070F10"/>
    <w:rsid w:val="5F0862C3"/>
    <w:rsid w:val="5F0E22EC"/>
    <w:rsid w:val="5F4C162A"/>
    <w:rsid w:val="5F4F10AF"/>
    <w:rsid w:val="5F577D10"/>
    <w:rsid w:val="5F5A6ED0"/>
    <w:rsid w:val="5F5C4825"/>
    <w:rsid w:val="5F701D7B"/>
    <w:rsid w:val="5F727FC6"/>
    <w:rsid w:val="5F8874C5"/>
    <w:rsid w:val="5F926F9A"/>
    <w:rsid w:val="5F984D27"/>
    <w:rsid w:val="5FA562EE"/>
    <w:rsid w:val="5FB67C3B"/>
    <w:rsid w:val="5FB7255D"/>
    <w:rsid w:val="5FBA715C"/>
    <w:rsid w:val="5FBE789B"/>
    <w:rsid w:val="5FC469D3"/>
    <w:rsid w:val="5FD862BD"/>
    <w:rsid w:val="5FD90725"/>
    <w:rsid w:val="5FDD0F28"/>
    <w:rsid w:val="5FDE4C57"/>
    <w:rsid w:val="5FE570CA"/>
    <w:rsid w:val="5FF92B75"/>
    <w:rsid w:val="5FFD3990"/>
    <w:rsid w:val="5FFD3C4A"/>
    <w:rsid w:val="60085D90"/>
    <w:rsid w:val="60265BCA"/>
    <w:rsid w:val="603A2B07"/>
    <w:rsid w:val="6040415C"/>
    <w:rsid w:val="604B787F"/>
    <w:rsid w:val="6054527B"/>
    <w:rsid w:val="60613951"/>
    <w:rsid w:val="607F45F5"/>
    <w:rsid w:val="607F6BA2"/>
    <w:rsid w:val="60806DF2"/>
    <w:rsid w:val="608E4E60"/>
    <w:rsid w:val="609A3A92"/>
    <w:rsid w:val="609E54CA"/>
    <w:rsid w:val="60A35595"/>
    <w:rsid w:val="60A652C9"/>
    <w:rsid w:val="60A77018"/>
    <w:rsid w:val="60A81050"/>
    <w:rsid w:val="60A94626"/>
    <w:rsid w:val="60B3575F"/>
    <w:rsid w:val="60BE3971"/>
    <w:rsid w:val="60C34F31"/>
    <w:rsid w:val="60C36BAA"/>
    <w:rsid w:val="60DA02C2"/>
    <w:rsid w:val="60E471F1"/>
    <w:rsid w:val="60E850DB"/>
    <w:rsid w:val="60F2534F"/>
    <w:rsid w:val="60F600EF"/>
    <w:rsid w:val="60F864F0"/>
    <w:rsid w:val="61016585"/>
    <w:rsid w:val="610244AA"/>
    <w:rsid w:val="61093E19"/>
    <w:rsid w:val="611304E9"/>
    <w:rsid w:val="61186287"/>
    <w:rsid w:val="61193CEB"/>
    <w:rsid w:val="61265BEC"/>
    <w:rsid w:val="61296823"/>
    <w:rsid w:val="613045F7"/>
    <w:rsid w:val="613C19CF"/>
    <w:rsid w:val="6142054C"/>
    <w:rsid w:val="6145645F"/>
    <w:rsid w:val="614632BC"/>
    <w:rsid w:val="614B50C1"/>
    <w:rsid w:val="61517443"/>
    <w:rsid w:val="61593AF6"/>
    <w:rsid w:val="615A3AE7"/>
    <w:rsid w:val="615E036B"/>
    <w:rsid w:val="6161797C"/>
    <w:rsid w:val="616D653E"/>
    <w:rsid w:val="61705093"/>
    <w:rsid w:val="61761FA3"/>
    <w:rsid w:val="61791AAE"/>
    <w:rsid w:val="618F19E3"/>
    <w:rsid w:val="618F5E5F"/>
    <w:rsid w:val="61AD00BB"/>
    <w:rsid w:val="61B00A1E"/>
    <w:rsid w:val="61C44FB6"/>
    <w:rsid w:val="61CA2A1B"/>
    <w:rsid w:val="61CA606C"/>
    <w:rsid w:val="61D12494"/>
    <w:rsid w:val="61D253C0"/>
    <w:rsid w:val="61D3123E"/>
    <w:rsid w:val="61D4596C"/>
    <w:rsid w:val="61DE243F"/>
    <w:rsid w:val="61ED2A14"/>
    <w:rsid w:val="61F21F72"/>
    <w:rsid w:val="62006316"/>
    <w:rsid w:val="62083B4D"/>
    <w:rsid w:val="621243C2"/>
    <w:rsid w:val="62141908"/>
    <w:rsid w:val="621912AD"/>
    <w:rsid w:val="621A51B1"/>
    <w:rsid w:val="621B0580"/>
    <w:rsid w:val="621B7911"/>
    <w:rsid w:val="62244482"/>
    <w:rsid w:val="622446F8"/>
    <w:rsid w:val="622B1281"/>
    <w:rsid w:val="622C2A0D"/>
    <w:rsid w:val="622C3BBB"/>
    <w:rsid w:val="622F287E"/>
    <w:rsid w:val="62364403"/>
    <w:rsid w:val="62387CD2"/>
    <w:rsid w:val="623E51B7"/>
    <w:rsid w:val="62436960"/>
    <w:rsid w:val="624A76B8"/>
    <w:rsid w:val="62521D8C"/>
    <w:rsid w:val="62550AF8"/>
    <w:rsid w:val="625C6B16"/>
    <w:rsid w:val="625E3163"/>
    <w:rsid w:val="625F53CD"/>
    <w:rsid w:val="62604FDE"/>
    <w:rsid w:val="62642997"/>
    <w:rsid w:val="6267026A"/>
    <w:rsid w:val="62686E91"/>
    <w:rsid w:val="626A7D5A"/>
    <w:rsid w:val="626C5880"/>
    <w:rsid w:val="627961EF"/>
    <w:rsid w:val="627B5880"/>
    <w:rsid w:val="627D4188"/>
    <w:rsid w:val="62856942"/>
    <w:rsid w:val="6294124F"/>
    <w:rsid w:val="629C00D6"/>
    <w:rsid w:val="629C583C"/>
    <w:rsid w:val="629D1EDE"/>
    <w:rsid w:val="629F5000"/>
    <w:rsid w:val="62A603C6"/>
    <w:rsid w:val="62AA0157"/>
    <w:rsid w:val="62C20707"/>
    <w:rsid w:val="62C54F90"/>
    <w:rsid w:val="62C751AC"/>
    <w:rsid w:val="62CA2E80"/>
    <w:rsid w:val="62CB57FE"/>
    <w:rsid w:val="62D17676"/>
    <w:rsid w:val="62D32BA1"/>
    <w:rsid w:val="62DE7627"/>
    <w:rsid w:val="62E37288"/>
    <w:rsid w:val="62EE6B0C"/>
    <w:rsid w:val="62F835B8"/>
    <w:rsid w:val="63027145"/>
    <w:rsid w:val="63075750"/>
    <w:rsid w:val="63084640"/>
    <w:rsid w:val="630E1549"/>
    <w:rsid w:val="631040EF"/>
    <w:rsid w:val="63147EC5"/>
    <w:rsid w:val="63162979"/>
    <w:rsid w:val="631D7C98"/>
    <w:rsid w:val="63286425"/>
    <w:rsid w:val="63352116"/>
    <w:rsid w:val="633571CC"/>
    <w:rsid w:val="633B489B"/>
    <w:rsid w:val="633B709F"/>
    <w:rsid w:val="634265E1"/>
    <w:rsid w:val="6348512C"/>
    <w:rsid w:val="634D0FFB"/>
    <w:rsid w:val="634D4E50"/>
    <w:rsid w:val="635A4FE5"/>
    <w:rsid w:val="635C7A8A"/>
    <w:rsid w:val="63607B63"/>
    <w:rsid w:val="636451F8"/>
    <w:rsid w:val="636655E8"/>
    <w:rsid w:val="63715118"/>
    <w:rsid w:val="637A221F"/>
    <w:rsid w:val="637F7835"/>
    <w:rsid w:val="63812712"/>
    <w:rsid w:val="63827B1B"/>
    <w:rsid w:val="63864396"/>
    <w:rsid w:val="639C03E7"/>
    <w:rsid w:val="639C2195"/>
    <w:rsid w:val="63AB4186"/>
    <w:rsid w:val="63AC40B1"/>
    <w:rsid w:val="63AC7B01"/>
    <w:rsid w:val="63B069B7"/>
    <w:rsid w:val="63B96A14"/>
    <w:rsid w:val="63C85E2C"/>
    <w:rsid w:val="63D92960"/>
    <w:rsid w:val="63E1229E"/>
    <w:rsid w:val="63E35F3A"/>
    <w:rsid w:val="63EC4F0E"/>
    <w:rsid w:val="63F0276B"/>
    <w:rsid w:val="63F43CF5"/>
    <w:rsid w:val="63FF4C2E"/>
    <w:rsid w:val="640A7A27"/>
    <w:rsid w:val="64104E63"/>
    <w:rsid w:val="6416019A"/>
    <w:rsid w:val="6419743D"/>
    <w:rsid w:val="641C32D6"/>
    <w:rsid w:val="641C6E32"/>
    <w:rsid w:val="641F310C"/>
    <w:rsid w:val="642B52C7"/>
    <w:rsid w:val="642D197F"/>
    <w:rsid w:val="64351649"/>
    <w:rsid w:val="643979E4"/>
    <w:rsid w:val="64412D3D"/>
    <w:rsid w:val="6449399F"/>
    <w:rsid w:val="64505561"/>
    <w:rsid w:val="6451172E"/>
    <w:rsid w:val="645B218B"/>
    <w:rsid w:val="64615543"/>
    <w:rsid w:val="646949A2"/>
    <w:rsid w:val="646A5923"/>
    <w:rsid w:val="64752152"/>
    <w:rsid w:val="64802D6E"/>
    <w:rsid w:val="6481537F"/>
    <w:rsid w:val="64835103"/>
    <w:rsid w:val="648F1CFA"/>
    <w:rsid w:val="64A37A75"/>
    <w:rsid w:val="64AB5DA1"/>
    <w:rsid w:val="64B7696A"/>
    <w:rsid w:val="64BF2823"/>
    <w:rsid w:val="64D30230"/>
    <w:rsid w:val="64D81ED5"/>
    <w:rsid w:val="64D85ADD"/>
    <w:rsid w:val="64E10284"/>
    <w:rsid w:val="64E45A26"/>
    <w:rsid w:val="64EA6F30"/>
    <w:rsid w:val="64F102BF"/>
    <w:rsid w:val="64F25DE5"/>
    <w:rsid w:val="64F4459D"/>
    <w:rsid w:val="64FA0716"/>
    <w:rsid w:val="64FD4EB5"/>
    <w:rsid w:val="65097286"/>
    <w:rsid w:val="650B4776"/>
    <w:rsid w:val="651151DE"/>
    <w:rsid w:val="65182A1E"/>
    <w:rsid w:val="65194470"/>
    <w:rsid w:val="652900ED"/>
    <w:rsid w:val="65341AB7"/>
    <w:rsid w:val="65365BD7"/>
    <w:rsid w:val="653D34A1"/>
    <w:rsid w:val="654C0A01"/>
    <w:rsid w:val="654C400E"/>
    <w:rsid w:val="655C6B59"/>
    <w:rsid w:val="655F4AD1"/>
    <w:rsid w:val="656767D3"/>
    <w:rsid w:val="65686596"/>
    <w:rsid w:val="65764C68"/>
    <w:rsid w:val="65931D3A"/>
    <w:rsid w:val="659822DD"/>
    <w:rsid w:val="65A3380C"/>
    <w:rsid w:val="65AB2B63"/>
    <w:rsid w:val="65AC2438"/>
    <w:rsid w:val="65AF3DC5"/>
    <w:rsid w:val="65B44DD6"/>
    <w:rsid w:val="65B500B8"/>
    <w:rsid w:val="65D21F83"/>
    <w:rsid w:val="65D60201"/>
    <w:rsid w:val="65D95B4E"/>
    <w:rsid w:val="65DF280D"/>
    <w:rsid w:val="65E174B2"/>
    <w:rsid w:val="65F01AB4"/>
    <w:rsid w:val="65F77B57"/>
    <w:rsid w:val="65FB765F"/>
    <w:rsid w:val="65FE7F42"/>
    <w:rsid w:val="66007C45"/>
    <w:rsid w:val="660B3DE6"/>
    <w:rsid w:val="66100967"/>
    <w:rsid w:val="6622278A"/>
    <w:rsid w:val="662720D2"/>
    <w:rsid w:val="663219D1"/>
    <w:rsid w:val="66376FAC"/>
    <w:rsid w:val="663A5586"/>
    <w:rsid w:val="664663E8"/>
    <w:rsid w:val="664B7EA3"/>
    <w:rsid w:val="665304C5"/>
    <w:rsid w:val="6653533F"/>
    <w:rsid w:val="665B5E5F"/>
    <w:rsid w:val="6660552E"/>
    <w:rsid w:val="66634050"/>
    <w:rsid w:val="66646397"/>
    <w:rsid w:val="666D301C"/>
    <w:rsid w:val="66723681"/>
    <w:rsid w:val="66854BCD"/>
    <w:rsid w:val="6688644D"/>
    <w:rsid w:val="668D06E0"/>
    <w:rsid w:val="668F4233"/>
    <w:rsid w:val="66922D55"/>
    <w:rsid w:val="669C06FE"/>
    <w:rsid w:val="669D0FFF"/>
    <w:rsid w:val="66A37B86"/>
    <w:rsid w:val="66B131AA"/>
    <w:rsid w:val="66B23631"/>
    <w:rsid w:val="66B87247"/>
    <w:rsid w:val="66C1139D"/>
    <w:rsid w:val="66D00173"/>
    <w:rsid w:val="66D12486"/>
    <w:rsid w:val="66D4710B"/>
    <w:rsid w:val="66D87459"/>
    <w:rsid w:val="66DC5B3F"/>
    <w:rsid w:val="66E03F2D"/>
    <w:rsid w:val="66EB4340"/>
    <w:rsid w:val="66EF6A80"/>
    <w:rsid w:val="66F81E55"/>
    <w:rsid w:val="67071D58"/>
    <w:rsid w:val="670C5884"/>
    <w:rsid w:val="67105321"/>
    <w:rsid w:val="67286393"/>
    <w:rsid w:val="67366086"/>
    <w:rsid w:val="67381AD5"/>
    <w:rsid w:val="674E19F8"/>
    <w:rsid w:val="675E2286"/>
    <w:rsid w:val="676E7F3D"/>
    <w:rsid w:val="67703034"/>
    <w:rsid w:val="67704FAD"/>
    <w:rsid w:val="67705E13"/>
    <w:rsid w:val="67740045"/>
    <w:rsid w:val="677436BA"/>
    <w:rsid w:val="677E4332"/>
    <w:rsid w:val="67836156"/>
    <w:rsid w:val="67880EF4"/>
    <w:rsid w:val="678D611C"/>
    <w:rsid w:val="67963887"/>
    <w:rsid w:val="67A27CC2"/>
    <w:rsid w:val="67A60B9C"/>
    <w:rsid w:val="67AD0F3F"/>
    <w:rsid w:val="67B30841"/>
    <w:rsid w:val="67C02813"/>
    <w:rsid w:val="67C25F42"/>
    <w:rsid w:val="67C5120B"/>
    <w:rsid w:val="67D440E3"/>
    <w:rsid w:val="67D514C6"/>
    <w:rsid w:val="67DA2C38"/>
    <w:rsid w:val="67DF6EC0"/>
    <w:rsid w:val="67EA233A"/>
    <w:rsid w:val="67EF30B3"/>
    <w:rsid w:val="67FE2E53"/>
    <w:rsid w:val="68061993"/>
    <w:rsid w:val="680D0939"/>
    <w:rsid w:val="681273D7"/>
    <w:rsid w:val="68237FD2"/>
    <w:rsid w:val="68252054"/>
    <w:rsid w:val="68331294"/>
    <w:rsid w:val="68394CF3"/>
    <w:rsid w:val="684224C0"/>
    <w:rsid w:val="684557CE"/>
    <w:rsid w:val="68466D27"/>
    <w:rsid w:val="685F3791"/>
    <w:rsid w:val="685F5D48"/>
    <w:rsid w:val="6865167E"/>
    <w:rsid w:val="686A00C3"/>
    <w:rsid w:val="686C698D"/>
    <w:rsid w:val="686D127F"/>
    <w:rsid w:val="687067F6"/>
    <w:rsid w:val="68741E62"/>
    <w:rsid w:val="6874371C"/>
    <w:rsid w:val="68747A3A"/>
    <w:rsid w:val="687731D1"/>
    <w:rsid w:val="68802A41"/>
    <w:rsid w:val="6885133E"/>
    <w:rsid w:val="689078F6"/>
    <w:rsid w:val="689304A0"/>
    <w:rsid w:val="68A5389A"/>
    <w:rsid w:val="68B65617"/>
    <w:rsid w:val="68B729D2"/>
    <w:rsid w:val="68B93D81"/>
    <w:rsid w:val="68BC7885"/>
    <w:rsid w:val="68D1337E"/>
    <w:rsid w:val="68D20407"/>
    <w:rsid w:val="68DD74D8"/>
    <w:rsid w:val="68E3352F"/>
    <w:rsid w:val="68E65278"/>
    <w:rsid w:val="68EC04DE"/>
    <w:rsid w:val="68F20AA9"/>
    <w:rsid w:val="68FC7FC0"/>
    <w:rsid w:val="69022832"/>
    <w:rsid w:val="69093CAF"/>
    <w:rsid w:val="69097784"/>
    <w:rsid w:val="690B7520"/>
    <w:rsid w:val="691200AE"/>
    <w:rsid w:val="69140A20"/>
    <w:rsid w:val="69152147"/>
    <w:rsid w:val="69285AA8"/>
    <w:rsid w:val="6931256A"/>
    <w:rsid w:val="69317031"/>
    <w:rsid w:val="69466329"/>
    <w:rsid w:val="69564B94"/>
    <w:rsid w:val="695A58A7"/>
    <w:rsid w:val="695F613F"/>
    <w:rsid w:val="69647D29"/>
    <w:rsid w:val="6977720C"/>
    <w:rsid w:val="697E40EB"/>
    <w:rsid w:val="697E74B0"/>
    <w:rsid w:val="6992357A"/>
    <w:rsid w:val="69AB1271"/>
    <w:rsid w:val="69AD77A9"/>
    <w:rsid w:val="69AF21EC"/>
    <w:rsid w:val="69B875FD"/>
    <w:rsid w:val="69B96038"/>
    <w:rsid w:val="69C76718"/>
    <w:rsid w:val="69C81164"/>
    <w:rsid w:val="69CF00C0"/>
    <w:rsid w:val="69D32689"/>
    <w:rsid w:val="69D85016"/>
    <w:rsid w:val="69DA61FE"/>
    <w:rsid w:val="69DC02CC"/>
    <w:rsid w:val="69E67C99"/>
    <w:rsid w:val="69FD5302"/>
    <w:rsid w:val="6A0456C2"/>
    <w:rsid w:val="6A0A4204"/>
    <w:rsid w:val="6A0A518E"/>
    <w:rsid w:val="6A0B1654"/>
    <w:rsid w:val="6A1F58CE"/>
    <w:rsid w:val="6A220495"/>
    <w:rsid w:val="6A2C3B47"/>
    <w:rsid w:val="6A305C56"/>
    <w:rsid w:val="6A410D55"/>
    <w:rsid w:val="6A441179"/>
    <w:rsid w:val="6A476FE2"/>
    <w:rsid w:val="6A497118"/>
    <w:rsid w:val="6A5318E5"/>
    <w:rsid w:val="6A6D40BC"/>
    <w:rsid w:val="6A6D5380"/>
    <w:rsid w:val="6A7259FE"/>
    <w:rsid w:val="6A817C93"/>
    <w:rsid w:val="6A83685F"/>
    <w:rsid w:val="6A871F0C"/>
    <w:rsid w:val="6A897C0D"/>
    <w:rsid w:val="6A8D10DF"/>
    <w:rsid w:val="6A90546D"/>
    <w:rsid w:val="6A971908"/>
    <w:rsid w:val="6AA320BF"/>
    <w:rsid w:val="6AB5211E"/>
    <w:rsid w:val="6ABA55F7"/>
    <w:rsid w:val="6ABF0E6A"/>
    <w:rsid w:val="6ACD0E86"/>
    <w:rsid w:val="6AD00976"/>
    <w:rsid w:val="6AD95A7D"/>
    <w:rsid w:val="6AD97F5A"/>
    <w:rsid w:val="6ADE12E5"/>
    <w:rsid w:val="6ADF06DE"/>
    <w:rsid w:val="6AF42FD3"/>
    <w:rsid w:val="6AFA59F3"/>
    <w:rsid w:val="6AFF0D97"/>
    <w:rsid w:val="6B05038A"/>
    <w:rsid w:val="6B176BC8"/>
    <w:rsid w:val="6B2B66DF"/>
    <w:rsid w:val="6B6A2B79"/>
    <w:rsid w:val="6B6C069F"/>
    <w:rsid w:val="6B6D4417"/>
    <w:rsid w:val="6B716202"/>
    <w:rsid w:val="6B741C4A"/>
    <w:rsid w:val="6B753F21"/>
    <w:rsid w:val="6B776695"/>
    <w:rsid w:val="6B782F1E"/>
    <w:rsid w:val="6B7925B5"/>
    <w:rsid w:val="6B7F5116"/>
    <w:rsid w:val="6B8829BB"/>
    <w:rsid w:val="6B89009E"/>
    <w:rsid w:val="6B8A0EE1"/>
    <w:rsid w:val="6B8B51C2"/>
    <w:rsid w:val="6B9A59AF"/>
    <w:rsid w:val="6BA076F0"/>
    <w:rsid w:val="6BA716CC"/>
    <w:rsid w:val="6BAC4F3F"/>
    <w:rsid w:val="6BAF7BD0"/>
    <w:rsid w:val="6BBA6837"/>
    <w:rsid w:val="6BC3763E"/>
    <w:rsid w:val="6BC568DE"/>
    <w:rsid w:val="6BC8789F"/>
    <w:rsid w:val="6BCA00F3"/>
    <w:rsid w:val="6BD44428"/>
    <w:rsid w:val="6BDA756C"/>
    <w:rsid w:val="6BDC755C"/>
    <w:rsid w:val="6BDD4FB6"/>
    <w:rsid w:val="6BE152C0"/>
    <w:rsid w:val="6BEB340B"/>
    <w:rsid w:val="6BF47F19"/>
    <w:rsid w:val="6BF510A4"/>
    <w:rsid w:val="6BFE0F82"/>
    <w:rsid w:val="6BFF36AF"/>
    <w:rsid w:val="6C0343D2"/>
    <w:rsid w:val="6C144674"/>
    <w:rsid w:val="6C161086"/>
    <w:rsid w:val="6C1A00FB"/>
    <w:rsid w:val="6C1A459F"/>
    <w:rsid w:val="6C2E38EE"/>
    <w:rsid w:val="6C335661"/>
    <w:rsid w:val="6C3811AE"/>
    <w:rsid w:val="6C45693C"/>
    <w:rsid w:val="6C4873D4"/>
    <w:rsid w:val="6C4909E0"/>
    <w:rsid w:val="6C4E4249"/>
    <w:rsid w:val="6C5164C2"/>
    <w:rsid w:val="6C576A17"/>
    <w:rsid w:val="6C5C7421"/>
    <w:rsid w:val="6C602F3C"/>
    <w:rsid w:val="6C647BD2"/>
    <w:rsid w:val="6C671C24"/>
    <w:rsid w:val="6C774EA5"/>
    <w:rsid w:val="6C77611C"/>
    <w:rsid w:val="6C7D1340"/>
    <w:rsid w:val="6C8A7F22"/>
    <w:rsid w:val="6C8E2466"/>
    <w:rsid w:val="6C900289"/>
    <w:rsid w:val="6C973107"/>
    <w:rsid w:val="6C9D26A9"/>
    <w:rsid w:val="6CAD5413"/>
    <w:rsid w:val="6CB561E6"/>
    <w:rsid w:val="6CC02E2E"/>
    <w:rsid w:val="6CC83FFB"/>
    <w:rsid w:val="6CD04B41"/>
    <w:rsid w:val="6CD96E67"/>
    <w:rsid w:val="6CDD1263"/>
    <w:rsid w:val="6CDD463E"/>
    <w:rsid w:val="6CE27AF9"/>
    <w:rsid w:val="6CE30221"/>
    <w:rsid w:val="6CF50B68"/>
    <w:rsid w:val="6CF511CB"/>
    <w:rsid w:val="6CF83B19"/>
    <w:rsid w:val="6CFE7A1D"/>
    <w:rsid w:val="6D001895"/>
    <w:rsid w:val="6D013069"/>
    <w:rsid w:val="6D035033"/>
    <w:rsid w:val="6D092A01"/>
    <w:rsid w:val="6D0A2431"/>
    <w:rsid w:val="6D13356D"/>
    <w:rsid w:val="6D172F05"/>
    <w:rsid w:val="6D1B4843"/>
    <w:rsid w:val="6D1E383F"/>
    <w:rsid w:val="6D233B8B"/>
    <w:rsid w:val="6D242CB5"/>
    <w:rsid w:val="6D324CAD"/>
    <w:rsid w:val="6D327C15"/>
    <w:rsid w:val="6D347EA9"/>
    <w:rsid w:val="6D38376D"/>
    <w:rsid w:val="6D396CA7"/>
    <w:rsid w:val="6D3A1767"/>
    <w:rsid w:val="6D3B587B"/>
    <w:rsid w:val="6D3D7F2F"/>
    <w:rsid w:val="6D560CEB"/>
    <w:rsid w:val="6D594AFC"/>
    <w:rsid w:val="6D64766A"/>
    <w:rsid w:val="6D696D90"/>
    <w:rsid w:val="6D6A6E60"/>
    <w:rsid w:val="6D6C2BD8"/>
    <w:rsid w:val="6D7C6B93"/>
    <w:rsid w:val="6D8D2B4F"/>
    <w:rsid w:val="6D940381"/>
    <w:rsid w:val="6D986AF3"/>
    <w:rsid w:val="6DAB236E"/>
    <w:rsid w:val="6DB60733"/>
    <w:rsid w:val="6DBB120B"/>
    <w:rsid w:val="6DBE1A43"/>
    <w:rsid w:val="6DCB287A"/>
    <w:rsid w:val="6DCF476F"/>
    <w:rsid w:val="6DD2377C"/>
    <w:rsid w:val="6DD95A0A"/>
    <w:rsid w:val="6DDB1B0C"/>
    <w:rsid w:val="6DE309C1"/>
    <w:rsid w:val="6DED016B"/>
    <w:rsid w:val="6DF04651"/>
    <w:rsid w:val="6DF825E5"/>
    <w:rsid w:val="6E010E59"/>
    <w:rsid w:val="6E0D3650"/>
    <w:rsid w:val="6E182D60"/>
    <w:rsid w:val="6E282CF9"/>
    <w:rsid w:val="6E2B2A93"/>
    <w:rsid w:val="6E2D2C94"/>
    <w:rsid w:val="6E36777D"/>
    <w:rsid w:val="6E461B04"/>
    <w:rsid w:val="6E582A2C"/>
    <w:rsid w:val="6E6011F9"/>
    <w:rsid w:val="6E645FA5"/>
    <w:rsid w:val="6E657628"/>
    <w:rsid w:val="6E6E1524"/>
    <w:rsid w:val="6E7961A9"/>
    <w:rsid w:val="6E7E2890"/>
    <w:rsid w:val="6E825693"/>
    <w:rsid w:val="6E881C94"/>
    <w:rsid w:val="6E9154B8"/>
    <w:rsid w:val="6E9270A8"/>
    <w:rsid w:val="6EA13BFA"/>
    <w:rsid w:val="6EAD794B"/>
    <w:rsid w:val="6EC15B86"/>
    <w:rsid w:val="6EC15FF9"/>
    <w:rsid w:val="6EC425A0"/>
    <w:rsid w:val="6EC543D7"/>
    <w:rsid w:val="6EC82F43"/>
    <w:rsid w:val="6EE54ACA"/>
    <w:rsid w:val="6EE5683D"/>
    <w:rsid w:val="6EEF1D13"/>
    <w:rsid w:val="6EFA4A61"/>
    <w:rsid w:val="6EFC4430"/>
    <w:rsid w:val="6EFF229C"/>
    <w:rsid w:val="6F045092"/>
    <w:rsid w:val="6F1928EC"/>
    <w:rsid w:val="6F1A0BE2"/>
    <w:rsid w:val="6F1A2251"/>
    <w:rsid w:val="6F1A6D0C"/>
    <w:rsid w:val="6F231DFF"/>
    <w:rsid w:val="6F2A675D"/>
    <w:rsid w:val="6F3B6D06"/>
    <w:rsid w:val="6F5C3578"/>
    <w:rsid w:val="6F63625D"/>
    <w:rsid w:val="6F6618A9"/>
    <w:rsid w:val="6F691C02"/>
    <w:rsid w:val="6F7F78D9"/>
    <w:rsid w:val="6F844DBC"/>
    <w:rsid w:val="6F8715EB"/>
    <w:rsid w:val="6F8725F7"/>
    <w:rsid w:val="6F8C1686"/>
    <w:rsid w:val="6FA65F39"/>
    <w:rsid w:val="6FAD579E"/>
    <w:rsid w:val="6FBD6232"/>
    <w:rsid w:val="6FC01F8F"/>
    <w:rsid w:val="6FC514E5"/>
    <w:rsid w:val="6FC66CDD"/>
    <w:rsid w:val="6FC94811"/>
    <w:rsid w:val="6FCF73F6"/>
    <w:rsid w:val="6FDC1942"/>
    <w:rsid w:val="6FE06C43"/>
    <w:rsid w:val="6FE20202"/>
    <w:rsid w:val="6FEC283D"/>
    <w:rsid w:val="6FF43359"/>
    <w:rsid w:val="6FF9096F"/>
    <w:rsid w:val="6FF93153"/>
    <w:rsid w:val="6FFA2C08"/>
    <w:rsid w:val="700500E3"/>
    <w:rsid w:val="700C21C5"/>
    <w:rsid w:val="700C41C3"/>
    <w:rsid w:val="700F0193"/>
    <w:rsid w:val="70246D82"/>
    <w:rsid w:val="702A275D"/>
    <w:rsid w:val="702C748F"/>
    <w:rsid w:val="70382C39"/>
    <w:rsid w:val="703D65DA"/>
    <w:rsid w:val="703F08EA"/>
    <w:rsid w:val="703F5BF3"/>
    <w:rsid w:val="704551BF"/>
    <w:rsid w:val="70455963"/>
    <w:rsid w:val="70497201"/>
    <w:rsid w:val="704C260E"/>
    <w:rsid w:val="70543CE2"/>
    <w:rsid w:val="70561F0A"/>
    <w:rsid w:val="70582D5F"/>
    <w:rsid w:val="705E5D7E"/>
    <w:rsid w:val="705F4C76"/>
    <w:rsid w:val="706458F5"/>
    <w:rsid w:val="70656D99"/>
    <w:rsid w:val="707675BB"/>
    <w:rsid w:val="708A2768"/>
    <w:rsid w:val="709656FC"/>
    <w:rsid w:val="709D2DEC"/>
    <w:rsid w:val="709F20B3"/>
    <w:rsid w:val="70A01767"/>
    <w:rsid w:val="70A15996"/>
    <w:rsid w:val="70A55376"/>
    <w:rsid w:val="70AA46DF"/>
    <w:rsid w:val="70AC7790"/>
    <w:rsid w:val="70B800B5"/>
    <w:rsid w:val="70B82FD3"/>
    <w:rsid w:val="70B95679"/>
    <w:rsid w:val="70BB1A19"/>
    <w:rsid w:val="70BD199D"/>
    <w:rsid w:val="70C224AB"/>
    <w:rsid w:val="70C432B4"/>
    <w:rsid w:val="70CA591E"/>
    <w:rsid w:val="70CC28E1"/>
    <w:rsid w:val="70CF4244"/>
    <w:rsid w:val="70D676F5"/>
    <w:rsid w:val="70DF7ED0"/>
    <w:rsid w:val="70EC65A4"/>
    <w:rsid w:val="70EE1B56"/>
    <w:rsid w:val="70F4004C"/>
    <w:rsid w:val="70F82D59"/>
    <w:rsid w:val="710515F9"/>
    <w:rsid w:val="710D5505"/>
    <w:rsid w:val="710F1F23"/>
    <w:rsid w:val="711606F7"/>
    <w:rsid w:val="711D243B"/>
    <w:rsid w:val="71275730"/>
    <w:rsid w:val="713043DC"/>
    <w:rsid w:val="7136359B"/>
    <w:rsid w:val="713C0B14"/>
    <w:rsid w:val="714960E5"/>
    <w:rsid w:val="714F1722"/>
    <w:rsid w:val="716144FC"/>
    <w:rsid w:val="71707E34"/>
    <w:rsid w:val="717179D7"/>
    <w:rsid w:val="7175261E"/>
    <w:rsid w:val="7175696F"/>
    <w:rsid w:val="7198256C"/>
    <w:rsid w:val="719C7B18"/>
    <w:rsid w:val="719E7939"/>
    <w:rsid w:val="719F49F9"/>
    <w:rsid w:val="71B903B6"/>
    <w:rsid w:val="71B95573"/>
    <w:rsid w:val="71BB5741"/>
    <w:rsid w:val="71BD301E"/>
    <w:rsid w:val="71C30E32"/>
    <w:rsid w:val="71C81EF7"/>
    <w:rsid w:val="71CE7B26"/>
    <w:rsid w:val="71D80AB5"/>
    <w:rsid w:val="71E0131C"/>
    <w:rsid w:val="71E02D3A"/>
    <w:rsid w:val="71E87E16"/>
    <w:rsid w:val="71EB7849"/>
    <w:rsid w:val="71EC1C07"/>
    <w:rsid w:val="71F24FB3"/>
    <w:rsid w:val="71F52906"/>
    <w:rsid w:val="71F53008"/>
    <w:rsid w:val="720158B9"/>
    <w:rsid w:val="7206566E"/>
    <w:rsid w:val="720C498A"/>
    <w:rsid w:val="720D1F2F"/>
    <w:rsid w:val="720E7528"/>
    <w:rsid w:val="72217E8B"/>
    <w:rsid w:val="72256327"/>
    <w:rsid w:val="724265FE"/>
    <w:rsid w:val="724B2369"/>
    <w:rsid w:val="724C122A"/>
    <w:rsid w:val="724E4FA2"/>
    <w:rsid w:val="726C71D7"/>
    <w:rsid w:val="726D6FD7"/>
    <w:rsid w:val="72712A3F"/>
    <w:rsid w:val="727D4077"/>
    <w:rsid w:val="727E121A"/>
    <w:rsid w:val="72863AA7"/>
    <w:rsid w:val="728F7ACD"/>
    <w:rsid w:val="72943159"/>
    <w:rsid w:val="72953AF1"/>
    <w:rsid w:val="729B6C0B"/>
    <w:rsid w:val="72A44BC2"/>
    <w:rsid w:val="72AC0607"/>
    <w:rsid w:val="72AD7075"/>
    <w:rsid w:val="72B20521"/>
    <w:rsid w:val="72B80B69"/>
    <w:rsid w:val="72C4162D"/>
    <w:rsid w:val="72CC5EC7"/>
    <w:rsid w:val="72CE7E91"/>
    <w:rsid w:val="72DC7380"/>
    <w:rsid w:val="72DE30C9"/>
    <w:rsid w:val="72DE3FCB"/>
    <w:rsid w:val="72E328D4"/>
    <w:rsid w:val="72E43F2E"/>
    <w:rsid w:val="73150018"/>
    <w:rsid w:val="731A4616"/>
    <w:rsid w:val="731F472C"/>
    <w:rsid w:val="73217FC1"/>
    <w:rsid w:val="73225980"/>
    <w:rsid w:val="733F2B3D"/>
    <w:rsid w:val="73493989"/>
    <w:rsid w:val="734B1B9C"/>
    <w:rsid w:val="734C1455"/>
    <w:rsid w:val="735E1215"/>
    <w:rsid w:val="73691C33"/>
    <w:rsid w:val="7373536B"/>
    <w:rsid w:val="737522CC"/>
    <w:rsid w:val="73770563"/>
    <w:rsid w:val="7379604F"/>
    <w:rsid w:val="737A1DC7"/>
    <w:rsid w:val="737C342A"/>
    <w:rsid w:val="737D37CC"/>
    <w:rsid w:val="738B6531"/>
    <w:rsid w:val="738B7B30"/>
    <w:rsid w:val="738C4998"/>
    <w:rsid w:val="73944C37"/>
    <w:rsid w:val="739E7864"/>
    <w:rsid w:val="73A24FAD"/>
    <w:rsid w:val="73AA47FB"/>
    <w:rsid w:val="73AD7669"/>
    <w:rsid w:val="73B04BCD"/>
    <w:rsid w:val="73B65D64"/>
    <w:rsid w:val="73BC476F"/>
    <w:rsid w:val="73D14BBF"/>
    <w:rsid w:val="73D36370"/>
    <w:rsid w:val="73E221DF"/>
    <w:rsid w:val="73E26FB6"/>
    <w:rsid w:val="73E444BF"/>
    <w:rsid w:val="73EC4687"/>
    <w:rsid w:val="73F932F6"/>
    <w:rsid w:val="73FC27DC"/>
    <w:rsid w:val="73FD0584"/>
    <w:rsid w:val="740A314B"/>
    <w:rsid w:val="74126BC0"/>
    <w:rsid w:val="74150779"/>
    <w:rsid w:val="7419513C"/>
    <w:rsid w:val="7420296E"/>
    <w:rsid w:val="7423039A"/>
    <w:rsid w:val="74273790"/>
    <w:rsid w:val="7434641A"/>
    <w:rsid w:val="743B1556"/>
    <w:rsid w:val="744148F7"/>
    <w:rsid w:val="74432E49"/>
    <w:rsid w:val="744732F4"/>
    <w:rsid w:val="744A3547"/>
    <w:rsid w:val="744D309E"/>
    <w:rsid w:val="744D6CEA"/>
    <w:rsid w:val="744F6BF8"/>
    <w:rsid w:val="745A5E80"/>
    <w:rsid w:val="745C1017"/>
    <w:rsid w:val="745C2583"/>
    <w:rsid w:val="746022ED"/>
    <w:rsid w:val="747B47C1"/>
    <w:rsid w:val="747B6FB9"/>
    <w:rsid w:val="748969B2"/>
    <w:rsid w:val="748E5B2A"/>
    <w:rsid w:val="749D5FFC"/>
    <w:rsid w:val="74A76C06"/>
    <w:rsid w:val="74A8311A"/>
    <w:rsid w:val="74B55A7D"/>
    <w:rsid w:val="74C11875"/>
    <w:rsid w:val="74C177D1"/>
    <w:rsid w:val="74CC659F"/>
    <w:rsid w:val="74CD1DBC"/>
    <w:rsid w:val="74D329FB"/>
    <w:rsid w:val="74D57736"/>
    <w:rsid w:val="74D76582"/>
    <w:rsid w:val="74E03EAC"/>
    <w:rsid w:val="74E30911"/>
    <w:rsid w:val="74E41769"/>
    <w:rsid w:val="74F97E5C"/>
    <w:rsid w:val="74FD6AF9"/>
    <w:rsid w:val="7505436A"/>
    <w:rsid w:val="750710F3"/>
    <w:rsid w:val="750A2CD7"/>
    <w:rsid w:val="750C6A6D"/>
    <w:rsid w:val="7514582F"/>
    <w:rsid w:val="75207767"/>
    <w:rsid w:val="752A613E"/>
    <w:rsid w:val="75383CE8"/>
    <w:rsid w:val="75404290"/>
    <w:rsid w:val="75497CA3"/>
    <w:rsid w:val="754B359F"/>
    <w:rsid w:val="75514745"/>
    <w:rsid w:val="755334CE"/>
    <w:rsid w:val="755976A1"/>
    <w:rsid w:val="755D72AA"/>
    <w:rsid w:val="75630D65"/>
    <w:rsid w:val="756B5E6B"/>
    <w:rsid w:val="756C77A6"/>
    <w:rsid w:val="75882579"/>
    <w:rsid w:val="758B7BC5"/>
    <w:rsid w:val="75971833"/>
    <w:rsid w:val="75994755"/>
    <w:rsid w:val="759B4D4E"/>
    <w:rsid w:val="759E36E7"/>
    <w:rsid w:val="75A601B0"/>
    <w:rsid w:val="75A90395"/>
    <w:rsid w:val="75B27CA5"/>
    <w:rsid w:val="75C24F30"/>
    <w:rsid w:val="75C42A34"/>
    <w:rsid w:val="75C97A4F"/>
    <w:rsid w:val="75CA29A8"/>
    <w:rsid w:val="75CA6FC2"/>
    <w:rsid w:val="75D0102D"/>
    <w:rsid w:val="75D72FE8"/>
    <w:rsid w:val="75D9071B"/>
    <w:rsid w:val="75DA0B91"/>
    <w:rsid w:val="75DA6B4D"/>
    <w:rsid w:val="75DD11C7"/>
    <w:rsid w:val="75E64749"/>
    <w:rsid w:val="75EB48B6"/>
    <w:rsid w:val="75F062A3"/>
    <w:rsid w:val="75F158D8"/>
    <w:rsid w:val="75F45E61"/>
    <w:rsid w:val="75F60993"/>
    <w:rsid w:val="75FE1C7F"/>
    <w:rsid w:val="760043B5"/>
    <w:rsid w:val="76041917"/>
    <w:rsid w:val="76044DBC"/>
    <w:rsid w:val="7608238C"/>
    <w:rsid w:val="76094850"/>
    <w:rsid w:val="76095B3C"/>
    <w:rsid w:val="76096254"/>
    <w:rsid w:val="760C6BF7"/>
    <w:rsid w:val="762142B8"/>
    <w:rsid w:val="762322A2"/>
    <w:rsid w:val="762A6911"/>
    <w:rsid w:val="762A6F77"/>
    <w:rsid w:val="762B7BC5"/>
    <w:rsid w:val="762E7C4C"/>
    <w:rsid w:val="7634625D"/>
    <w:rsid w:val="76396CC2"/>
    <w:rsid w:val="763D5EC9"/>
    <w:rsid w:val="764A13AC"/>
    <w:rsid w:val="76504B2A"/>
    <w:rsid w:val="76515480"/>
    <w:rsid w:val="76544B51"/>
    <w:rsid w:val="76601709"/>
    <w:rsid w:val="76742690"/>
    <w:rsid w:val="76792E50"/>
    <w:rsid w:val="767D65DB"/>
    <w:rsid w:val="767D7DFF"/>
    <w:rsid w:val="76830CCE"/>
    <w:rsid w:val="768D6682"/>
    <w:rsid w:val="7698178A"/>
    <w:rsid w:val="76982C90"/>
    <w:rsid w:val="769F2DDA"/>
    <w:rsid w:val="76A03E90"/>
    <w:rsid w:val="76CB270C"/>
    <w:rsid w:val="76D16297"/>
    <w:rsid w:val="76D91B10"/>
    <w:rsid w:val="76DD67D3"/>
    <w:rsid w:val="76E00191"/>
    <w:rsid w:val="76E30E67"/>
    <w:rsid w:val="76E761E8"/>
    <w:rsid w:val="76EA2DC0"/>
    <w:rsid w:val="76F529B8"/>
    <w:rsid w:val="76FC03FE"/>
    <w:rsid w:val="770C0F88"/>
    <w:rsid w:val="77130569"/>
    <w:rsid w:val="771B4FFF"/>
    <w:rsid w:val="772E53A2"/>
    <w:rsid w:val="772E789A"/>
    <w:rsid w:val="772E7A2D"/>
    <w:rsid w:val="773310E3"/>
    <w:rsid w:val="773B71ED"/>
    <w:rsid w:val="774424D0"/>
    <w:rsid w:val="77511B2F"/>
    <w:rsid w:val="776B358A"/>
    <w:rsid w:val="776B5480"/>
    <w:rsid w:val="77737BF8"/>
    <w:rsid w:val="77795FA5"/>
    <w:rsid w:val="77880CD0"/>
    <w:rsid w:val="77885880"/>
    <w:rsid w:val="779043E2"/>
    <w:rsid w:val="779150B9"/>
    <w:rsid w:val="779D7E32"/>
    <w:rsid w:val="779D7FD8"/>
    <w:rsid w:val="77A67511"/>
    <w:rsid w:val="77AA6F77"/>
    <w:rsid w:val="77AC5D76"/>
    <w:rsid w:val="77B203F2"/>
    <w:rsid w:val="77B34168"/>
    <w:rsid w:val="77B853CE"/>
    <w:rsid w:val="77BE1E71"/>
    <w:rsid w:val="77C16217"/>
    <w:rsid w:val="77C36C3C"/>
    <w:rsid w:val="77C43301"/>
    <w:rsid w:val="77CB0788"/>
    <w:rsid w:val="77CB499F"/>
    <w:rsid w:val="77D9530E"/>
    <w:rsid w:val="77DA3B38"/>
    <w:rsid w:val="77DC26B1"/>
    <w:rsid w:val="77DF0EAD"/>
    <w:rsid w:val="77FB21B6"/>
    <w:rsid w:val="77FF444C"/>
    <w:rsid w:val="78054355"/>
    <w:rsid w:val="78102276"/>
    <w:rsid w:val="78164B46"/>
    <w:rsid w:val="78250553"/>
    <w:rsid w:val="782642CC"/>
    <w:rsid w:val="78280044"/>
    <w:rsid w:val="7831514A"/>
    <w:rsid w:val="78395DAD"/>
    <w:rsid w:val="784A5EBD"/>
    <w:rsid w:val="784D3606"/>
    <w:rsid w:val="784D556E"/>
    <w:rsid w:val="784E76DC"/>
    <w:rsid w:val="78571967"/>
    <w:rsid w:val="786A010A"/>
    <w:rsid w:val="787C42DD"/>
    <w:rsid w:val="788A5451"/>
    <w:rsid w:val="789418F0"/>
    <w:rsid w:val="789D4FA3"/>
    <w:rsid w:val="789F1BFD"/>
    <w:rsid w:val="78A504C8"/>
    <w:rsid w:val="78AC0041"/>
    <w:rsid w:val="78B11DE7"/>
    <w:rsid w:val="78B13B0E"/>
    <w:rsid w:val="78B31A15"/>
    <w:rsid w:val="78B8775D"/>
    <w:rsid w:val="78C05B25"/>
    <w:rsid w:val="78C84750"/>
    <w:rsid w:val="78D855C6"/>
    <w:rsid w:val="78DA2088"/>
    <w:rsid w:val="78DF77D5"/>
    <w:rsid w:val="78E656E7"/>
    <w:rsid w:val="78E75646"/>
    <w:rsid w:val="78E901C3"/>
    <w:rsid w:val="78EB5EFD"/>
    <w:rsid w:val="78F8672E"/>
    <w:rsid w:val="79062161"/>
    <w:rsid w:val="79162D4D"/>
    <w:rsid w:val="791E26B4"/>
    <w:rsid w:val="792D38DD"/>
    <w:rsid w:val="793C27D0"/>
    <w:rsid w:val="79456D2F"/>
    <w:rsid w:val="79481F08"/>
    <w:rsid w:val="79496D88"/>
    <w:rsid w:val="794C1DA6"/>
    <w:rsid w:val="795874B4"/>
    <w:rsid w:val="7961710C"/>
    <w:rsid w:val="7962039C"/>
    <w:rsid w:val="796226B7"/>
    <w:rsid w:val="7962731E"/>
    <w:rsid w:val="79743BBA"/>
    <w:rsid w:val="79780B57"/>
    <w:rsid w:val="798736BF"/>
    <w:rsid w:val="798813F5"/>
    <w:rsid w:val="79974114"/>
    <w:rsid w:val="799C5797"/>
    <w:rsid w:val="799F4335"/>
    <w:rsid w:val="79A156EC"/>
    <w:rsid w:val="79A8041A"/>
    <w:rsid w:val="79B44348"/>
    <w:rsid w:val="79C32FEF"/>
    <w:rsid w:val="79D30053"/>
    <w:rsid w:val="79D42231"/>
    <w:rsid w:val="79DE7C8F"/>
    <w:rsid w:val="79E52441"/>
    <w:rsid w:val="7A2013FC"/>
    <w:rsid w:val="7A215327"/>
    <w:rsid w:val="7A24075A"/>
    <w:rsid w:val="7A293534"/>
    <w:rsid w:val="7A307EC9"/>
    <w:rsid w:val="7A3643BA"/>
    <w:rsid w:val="7A380C3F"/>
    <w:rsid w:val="7A4C0DA0"/>
    <w:rsid w:val="7A574C10"/>
    <w:rsid w:val="7A576A80"/>
    <w:rsid w:val="7A5C7ABE"/>
    <w:rsid w:val="7A60302C"/>
    <w:rsid w:val="7A6840CE"/>
    <w:rsid w:val="7A7E219D"/>
    <w:rsid w:val="7A7F4BEA"/>
    <w:rsid w:val="7A865DC3"/>
    <w:rsid w:val="7A894151"/>
    <w:rsid w:val="7A8E51C8"/>
    <w:rsid w:val="7A904F95"/>
    <w:rsid w:val="7A97500D"/>
    <w:rsid w:val="7A975B0F"/>
    <w:rsid w:val="7A9C36A2"/>
    <w:rsid w:val="7AA615A6"/>
    <w:rsid w:val="7AA9318C"/>
    <w:rsid w:val="7AB76C4F"/>
    <w:rsid w:val="7ABD6E5B"/>
    <w:rsid w:val="7AC06311"/>
    <w:rsid w:val="7AC330B7"/>
    <w:rsid w:val="7AC91B64"/>
    <w:rsid w:val="7ACC2256"/>
    <w:rsid w:val="7ACE7B72"/>
    <w:rsid w:val="7AD54BB5"/>
    <w:rsid w:val="7ADB19DB"/>
    <w:rsid w:val="7ADC193F"/>
    <w:rsid w:val="7AE832A5"/>
    <w:rsid w:val="7AF67F85"/>
    <w:rsid w:val="7AFB1A3F"/>
    <w:rsid w:val="7AFB37ED"/>
    <w:rsid w:val="7B036EB4"/>
    <w:rsid w:val="7B095ECF"/>
    <w:rsid w:val="7B0D3C52"/>
    <w:rsid w:val="7B12491B"/>
    <w:rsid w:val="7B1810CF"/>
    <w:rsid w:val="7B1D5512"/>
    <w:rsid w:val="7B2C61C2"/>
    <w:rsid w:val="7B315461"/>
    <w:rsid w:val="7B390BF2"/>
    <w:rsid w:val="7B4162C7"/>
    <w:rsid w:val="7B480D0D"/>
    <w:rsid w:val="7B4C7AD1"/>
    <w:rsid w:val="7B534E2D"/>
    <w:rsid w:val="7B591ED1"/>
    <w:rsid w:val="7B6302AC"/>
    <w:rsid w:val="7B683189"/>
    <w:rsid w:val="7B6E66F2"/>
    <w:rsid w:val="7B762213"/>
    <w:rsid w:val="7B785367"/>
    <w:rsid w:val="7B7A2964"/>
    <w:rsid w:val="7B8E4662"/>
    <w:rsid w:val="7B98535A"/>
    <w:rsid w:val="7BA83698"/>
    <w:rsid w:val="7BA93249"/>
    <w:rsid w:val="7BAE48FC"/>
    <w:rsid w:val="7BAF5F2E"/>
    <w:rsid w:val="7BB83DF8"/>
    <w:rsid w:val="7BBA2E35"/>
    <w:rsid w:val="7BC45C03"/>
    <w:rsid w:val="7BC45DE2"/>
    <w:rsid w:val="7BC76B4E"/>
    <w:rsid w:val="7BC9569A"/>
    <w:rsid w:val="7BCC163B"/>
    <w:rsid w:val="7BD81D81"/>
    <w:rsid w:val="7BD965EC"/>
    <w:rsid w:val="7BDF360D"/>
    <w:rsid w:val="7BE66796"/>
    <w:rsid w:val="7BF87D2D"/>
    <w:rsid w:val="7BFF4559"/>
    <w:rsid w:val="7C0827FE"/>
    <w:rsid w:val="7C0D71FB"/>
    <w:rsid w:val="7C1A756B"/>
    <w:rsid w:val="7C1B1028"/>
    <w:rsid w:val="7C226546"/>
    <w:rsid w:val="7C266245"/>
    <w:rsid w:val="7C27745C"/>
    <w:rsid w:val="7C2B2034"/>
    <w:rsid w:val="7C3043FE"/>
    <w:rsid w:val="7C36614C"/>
    <w:rsid w:val="7C366302"/>
    <w:rsid w:val="7C3D3992"/>
    <w:rsid w:val="7C455132"/>
    <w:rsid w:val="7C4E1254"/>
    <w:rsid w:val="7C4F607B"/>
    <w:rsid w:val="7C54745D"/>
    <w:rsid w:val="7C556A53"/>
    <w:rsid w:val="7C583982"/>
    <w:rsid w:val="7C701FB9"/>
    <w:rsid w:val="7C7D0B32"/>
    <w:rsid w:val="7C804B0D"/>
    <w:rsid w:val="7C833A9B"/>
    <w:rsid w:val="7C885555"/>
    <w:rsid w:val="7C8C5EFB"/>
    <w:rsid w:val="7C9932BE"/>
    <w:rsid w:val="7CA31AB6"/>
    <w:rsid w:val="7CA4518D"/>
    <w:rsid w:val="7CB41BA4"/>
    <w:rsid w:val="7CBC56FE"/>
    <w:rsid w:val="7CBE2D25"/>
    <w:rsid w:val="7CBE5D37"/>
    <w:rsid w:val="7CC0084B"/>
    <w:rsid w:val="7CC61BD9"/>
    <w:rsid w:val="7CC70B1A"/>
    <w:rsid w:val="7CCB376D"/>
    <w:rsid w:val="7CCC2D03"/>
    <w:rsid w:val="7CD17149"/>
    <w:rsid w:val="7CD730F8"/>
    <w:rsid w:val="7CDE6F23"/>
    <w:rsid w:val="7CEA32F9"/>
    <w:rsid w:val="7CEF7B71"/>
    <w:rsid w:val="7CF659DD"/>
    <w:rsid w:val="7CFB094E"/>
    <w:rsid w:val="7D027F2A"/>
    <w:rsid w:val="7D061726"/>
    <w:rsid w:val="7D0A1A32"/>
    <w:rsid w:val="7D0C1069"/>
    <w:rsid w:val="7D0E4B5B"/>
    <w:rsid w:val="7D1868D9"/>
    <w:rsid w:val="7D191B92"/>
    <w:rsid w:val="7D1B6EB8"/>
    <w:rsid w:val="7D33504E"/>
    <w:rsid w:val="7D362C54"/>
    <w:rsid w:val="7D363C81"/>
    <w:rsid w:val="7D3C08AA"/>
    <w:rsid w:val="7D3D410B"/>
    <w:rsid w:val="7D4928DE"/>
    <w:rsid w:val="7D494CE4"/>
    <w:rsid w:val="7D4C641E"/>
    <w:rsid w:val="7D5C493C"/>
    <w:rsid w:val="7D8605C7"/>
    <w:rsid w:val="7D8F6B8C"/>
    <w:rsid w:val="7D913F95"/>
    <w:rsid w:val="7DAE540F"/>
    <w:rsid w:val="7DB07FBB"/>
    <w:rsid w:val="7DB520AD"/>
    <w:rsid w:val="7DBA4196"/>
    <w:rsid w:val="7DD535C7"/>
    <w:rsid w:val="7DD80B95"/>
    <w:rsid w:val="7DDC0344"/>
    <w:rsid w:val="7DDD367E"/>
    <w:rsid w:val="7DE54986"/>
    <w:rsid w:val="7DE7105B"/>
    <w:rsid w:val="7DE75F71"/>
    <w:rsid w:val="7DEA41A0"/>
    <w:rsid w:val="7DF1781A"/>
    <w:rsid w:val="7DF5241B"/>
    <w:rsid w:val="7DF7247F"/>
    <w:rsid w:val="7E066731"/>
    <w:rsid w:val="7E0C5874"/>
    <w:rsid w:val="7E0D5730"/>
    <w:rsid w:val="7E153475"/>
    <w:rsid w:val="7E1C1F79"/>
    <w:rsid w:val="7E1F2DD5"/>
    <w:rsid w:val="7E2A39F6"/>
    <w:rsid w:val="7E2D63B4"/>
    <w:rsid w:val="7E3C6DB1"/>
    <w:rsid w:val="7E4313B6"/>
    <w:rsid w:val="7E480690"/>
    <w:rsid w:val="7E503E50"/>
    <w:rsid w:val="7E513527"/>
    <w:rsid w:val="7E6071B0"/>
    <w:rsid w:val="7E804FCB"/>
    <w:rsid w:val="7E8E42BF"/>
    <w:rsid w:val="7E90670A"/>
    <w:rsid w:val="7E9212CE"/>
    <w:rsid w:val="7E9552F4"/>
    <w:rsid w:val="7E971EEC"/>
    <w:rsid w:val="7E9842E4"/>
    <w:rsid w:val="7EA63A70"/>
    <w:rsid w:val="7EA6705B"/>
    <w:rsid w:val="7EA67F14"/>
    <w:rsid w:val="7ED06D3F"/>
    <w:rsid w:val="7ED44F77"/>
    <w:rsid w:val="7ED544B5"/>
    <w:rsid w:val="7EDB49B6"/>
    <w:rsid w:val="7EE01021"/>
    <w:rsid w:val="7EEB3B79"/>
    <w:rsid w:val="7EEF0F32"/>
    <w:rsid w:val="7EF249D0"/>
    <w:rsid w:val="7F0C3E44"/>
    <w:rsid w:val="7F0D0F48"/>
    <w:rsid w:val="7F110E3B"/>
    <w:rsid w:val="7F1629A4"/>
    <w:rsid w:val="7F1B5E8E"/>
    <w:rsid w:val="7F280929"/>
    <w:rsid w:val="7F2E4552"/>
    <w:rsid w:val="7F3022EC"/>
    <w:rsid w:val="7F3360A4"/>
    <w:rsid w:val="7F3950C2"/>
    <w:rsid w:val="7F3A08BE"/>
    <w:rsid w:val="7F3A609B"/>
    <w:rsid w:val="7F431CAA"/>
    <w:rsid w:val="7F484886"/>
    <w:rsid w:val="7F490B8E"/>
    <w:rsid w:val="7F4E3073"/>
    <w:rsid w:val="7F4F5EB6"/>
    <w:rsid w:val="7F5117A9"/>
    <w:rsid w:val="7F5E259D"/>
    <w:rsid w:val="7F6B5FB7"/>
    <w:rsid w:val="7F7119F3"/>
    <w:rsid w:val="7F853AB6"/>
    <w:rsid w:val="7F8D4C51"/>
    <w:rsid w:val="7F9D305D"/>
    <w:rsid w:val="7FA23687"/>
    <w:rsid w:val="7FA2692E"/>
    <w:rsid w:val="7FA534FA"/>
    <w:rsid w:val="7FA71F3A"/>
    <w:rsid w:val="7FBA3C77"/>
    <w:rsid w:val="7FBD3767"/>
    <w:rsid w:val="7FC379A1"/>
    <w:rsid w:val="7FC638A9"/>
    <w:rsid w:val="7FCB1D09"/>
    <w:rsid w:val="7FDD0932"/>
    <w:rsid w:val="7FE15B6A"/>
    <w:rsid w:val="7FE84467"/>
    <w:rsid w:val="7FF07C1F"/>
    <w:rsid w:val="7FF67CC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99"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99" w:semiHidden="0" w:name="Strong"/>
    <w:lsdException w:qFormat="1" w:unhideWhenUsed="0" w:uiPriority="99"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tabs>
        <w:tab w:val="left" w:pos="0"/>
      </w:tabs>
      <w:adjustRightInd w:val="0"/>
      <w:snapToGrid w:val="0"/>
      <w:spacing w:line="440" w:lineRule="exact"/>
      <w:ind w:firstLine="0" w:firstLineChars="0"/>
      <w:jc w:val="left"/>
    </w:pPr>
    <w:rPr>
      <w:rFonts w:ascii="宋体" w:hAnsi="宋体" w:eastAsia="宋体" w:cstheme="minorBidi"/>
      <w:kern w:val="2"/>
      <w:sz w:val="24"/>
      <w:szCs w:val="24"/>
      <w:lang w:val="en-US" w:eastAsia="zh-CN" w:bidi="ar-SA"/>
    </w:rPr>
  </w:style>
  <w:style w:type="paragraph" w:styleId="2">
    <w:name w:val="heading 1"/>
    <w:basedOn w:val="1"/>
    <w:next w:val="1"/>
    <w:qFormat/>
    <w:uiPriority w:val="0"/>
    <w:pPr>
      <w:keepNext/>
      <w:keepLines/>
      <w:spacing w:line="440" w:lineRule="exact"/>
      <w:outlineLvl w:val="0"/>
    </w:pPr>
    <w:rPr>
      <w:b/>
      <w:kern w:val="44"/>
      <w:sz w:val="44"/>
    </w:rPr>
  </w:style>
  <w:style w:type="paragraph" w:styleId="3">
    <w:name w:val="heading 2"/>
    <w:basedOn w:val="1"/>
    <w:next w:val="1"/>
    <w:link w:val="37"/>
    <w:unhideWhenUsed/>
    <w:qFormat/>
    <w:uiPriority w:val="0"/>
    <w:pPr>
      <w:keepNext/>
      <w:keepLines/>
      <w:spacing w:line="500" w:lineRule="exact"/>
      <w:outlineLvl w:val="1"/>
    </w:pPr>
    <w:rPr>
      <w:rFonts w:ascii="Arial" w:hAnsi="Arial" w:eastAsia="黑体"/>
      <w:b/>
      <w:sz w:val="28"/>
    </w:rPr>
  </w:style>
  <w:style w:type="paragraph" w:styleId="4">
    <w:name w:val="heading 3"/>
    <w:basedOn w:val="1"/>
    <w:next w:val="1"/>
    <w:unhideWhenUsed/>
    <w:qFormat/>
    <w:uiPriority w:val="0"/>
    <w:pPr>
      <w:jc w:val="left"/>
      <w:outlineLvl w:val="2"/>
    </w:pPr>
    <w:rPr>
      <w:rFonts w:hint="eastAsia" w:ascii="宋体" w:hAnsi="宋体" w:eastAsia="宋体" w:cs="Times New Roman"/>
      <w:b/>
      <w:kern w:val="0"/>
      <w:sz w:val="27"/>
      <w:szCs w:val="27"/>
    </w:rPr>
  </w:style>
  <w:style w:type="paragraph" w:styleId="5">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firstLine="402" w:firstLineChars="0"/>
      <w:outlineLvl w:val="5"/>
    </w:pPr>
    <w:rPr>
      <w:rFonts w:ascii="Arial" w:hAnsi="Arial" w:eastAsia="黑体"/>
      <w:b/>
      <w:sz w:val="24"/>
    </w:rPr>
  </w:style>
  <w:style w:type="paragraph" w:styleId="6">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firstLine="402" w:firstLineChars="0"/>
      <w:outlineLvl w:val="6"/>
    </w:pPr>
    <w:rPr>
      <w:b/>
      <w:sz w:val="24"/>
    </w:rPr>
  </w:style>
  <w:style w:type="paragraph" w:styleId="7">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firstLine="402" w:firstLineChars="0"/>
      <w:outlineLvl w:val="7"/>
    </w:pPr>
    <w:rPr>
      <w:rFonts w:ascii="Arial" w:hAnsi="Arial" w:eastAsia="黑体"/>
      <w:sz w:val="24"/>
    </w:rPr>
  </w:style>
  <w:style w:type="paragraph" w:styleId="8">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firstLine="402" w:firstLineChars="0"/>
      <w:outlineLvl w:val="8"/>
    </w:pPr>
    <w:rPr>
      <w:rFonts w:ascii="Arial" w:hAnsi="Arial" w:eastAsia="黑体"/>
      <w:sz w:val="21"/>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9">
    <w:name w:val="Normal Indent"/>
    <w:basedOn w:val="1"/>
    <w:qFormat/>
    <w:uiPriority w:val="0"/>
    <w:pPr>
      <w:ind w:firstLine="420" w:firstLineChars="200"/>
    </w:pPr>
    <w:rPr>
      <w:rFonts w:eastAsia="宋体"/>
    </w:rPr>
  </w:style>
  <w:style w:type="paragraph" w:styleId="10">
    <w:name w:val="annotation text"/>
    <w:basedOn w:val="1"/>
    <w:qFormat/>
    <w:uiPriority w:val="0"/>
    <w:pPr>
      <w:jc w:val="left"/>
    </w:pPr>
  </w:style>
  <w:style w:type="paragraph" w:styleId="11">
    <w:name w:val="Body Text"/>
    <w:basedOn w:val="1"/>
    <w:qFormat/>
    <w:uiPriority w:val="0"/>
    <w:pPr>
      <w:spacing w:after="120"/>
    </w:pPr>
    <w:rPr>
      <w:rFonts w:ascii="Times New Roman"/>
      <w:sz w:val="24"/>
    </w:rPr>
  </w:style>
  <w:style w:type="paragraph" w:styleId="12">
    <w:name w:val="Body Text Indent"/>
    <w:basedOn w:val="1"/>
    <w:qFormat/>
    <w:uiPriority w:val="0"/>
    <w:pPr>
      <w:ind w:firstLine="538" w:firstLineChars="168"/>
      <w:jc w:val="left"/>
    </w:pPr>
    <w:rPr>
      <w:rFonts w:ascii="仿宋_GB2312" w:eastAsia="仿宋_GB2312"/>
      <w:sz w:val="32"/>
    </w:rPr>
  </w:style>
  <w:style w:type="paragraph" w:styleId="13">
    <w:name w:val="toc 3"/>
    <w:basedOn w:val="1"/>
    <w:next w:val="1"/>
    <w:qFormat/>
    <w:uiPriority w:val="0"/>
    <w:pPr>
      <w:wordWrap w:val="0"/>
      <w:topLinePunct/>
      <w:spacing w:line="400" w:lineRule="exact"/>
      <w:ind w:left="840" w:leftChars="400"/>
    </w:pPr>
    <w:rPr>
      <w:rFonts w:ascii="宋体" w:hAnsi="宋体" w:eastAsia="宋体"/>
      <w:sz w:val="21"/>
    </w:rPr>
  </w:style>
  <w:style w:type="paragraph" w:styleId="14">
    <w:name w:val="Plain Text"/>
    <w:basedOn w:val="1"/>
    <w:qFormat/>
    <w:uiPriority w:val="99"/>
    <w:pPr>
      <w:spacing w:line="324" w:lineRule="auto"/>
    </w:pPr>
    <w:rPr>
      <w:rFonts w:ascii="宋体" w:hAnsi="Courier New"/>
    </w:rPr>
  </w:style>
  <w:style w:type="paragraph" w:styleId="15">
    <w:name w:val="footer"/>
    <w:basedOn w:val="1"/>
    <w:link w:val="36"/>
    <w:qFormat/>
    <w:uiPriority w:val="0"/>
    <w:pPr>
      <w:snapToGrid w:val="0"/>
      <w:spacing w:line="240" w:lineRule="auto"/>
      <w:ind w:firstLine="0" w:firstLineChars="0"/>
      <w:jc w:val="left"/>
    </w:pPr>
    <w:rPr>
      <w:rFonts w:ascii="宋体" w:hAnsi="宋体" w:eastAsia="宋体"/>
      <w:sz w:val="18"/>
      <w:szCs w:val="18"/>
    </w:rPr>
  </w:style>
  <w:style w:type="paragraph" w:styleId="16">
    <w:name w:val="header"/>
    <w:basedOn w:val="1"/>
    <w:link w:val="35"/>
    <w:qFormat/>
    <w:uiPriority w:val="0"/>
    <w:pPr>
      <w:pBdr>
        <w:bottom w:val="single" w:color="auto" w:sz="6" w:space="1"/>
      </w:pBdr>
      <w:wordWrap w:val="0"/>
      <w:topLinePunct/>
      <w:snapToGrid w:val="0"/>
      <w:spacing w:line="240" w:lineRule="auto"/>
      <w:ind w:firstLine="0" w:firstLineChars="0"/>
      <w:jc w:val="center"/>
    </w:pPr>
    <w:rPr>
      <w:rFonts w:ascii="宋体" w:hAnsi="宋体" w:eastAsia="宋体"/>
      <w:sz w:val="18"/>
      <w:szCs w:val="18"/>
    </w:rPr>
  </w:style>
  <w:style w:type="paragraph" w:styleId="17">
    <w:name w:val="toc 1"/>
    <w:basedOn w:val="1"/>
    <w:next w:val="1"/>
    <w:qFormat/>
    <w:uiPriority w:val="0"/>
    <w:pPr>
      <w:tabs>
        <w:tab w:val="right" w:leader="dot" w:pos="0"/>
        <w:tab w:val="right" w:leader="dot" w:pos="9746"/>
      </w:tabs>
      <w:wordWrap w:val="0"/>
      <w:topLinePunct/>
      <w:adjustRightInd w:val="0"/>
      <w:snapToGrid w:val="0"/>
      <w:spacing w:line="400" w:lineRule="exact"/>
    </w:pPr>
    <w:rPr>
      <w:rFonts w:ascii="宋体" w:hAnsi="宋体" w:eastAsia="宋体"/>
      <w:sz w:val="21"/>
    </w:rPr>
  </w:style>
  <w:style w:type="paragraph" w:styleId="18">
    <w:name w:val="index heading"/>
    <w:basedOn w:val="1"/>
    <w:next w:val="19"/>
    <w:qFormat/>
    <w:uiPriority w:val="99"/>
    <w:pPr>
      <w:spacing w:line="500" w:lineRule="exact"/>
    </w:pPr>
    <w:rPr>
      <w:rFonts w:ascii="仿宋_GB2312" w:hAnsi="仿宋_GB2312"/>
      <w:sz w:val="28"/>
    </w:rPr>
  </w:style>
  <w:style w:type="paragraph" w:styleId="19">
    <w:name w:val="index 1"/>
    <w:basedOn w:val="1"/>
    <w:next w:val="1"/>
    <w:qFormat/>
    <w:uiPriority w:val="99"/>
  </w:style>
  <w:style w:type="paragraph" w:styleId="20">
    <w:name w:val="Subtitle"/>
    <w:basedOn w:val="1"/>
    <w:next w:val="1"/>
    <w:link w:val="82"/>
    <w:qFormat/>
    <w:uiPriority w:val="11"/>
    <w:pPr>
      <w:widowControl/>
      <w:spacing w:before="240" w:after="60" w:line="312" w:lineRule="auto"/>
      <w:jc w:val="center"/>
      <w:outlineLvl w:val="1"/>
    </w:pPr>
    <w:rPr>
      <w:rFonts w:ascii="Calibri Light" w:hAnsi="Calibri Light"/>
      <w:b/>
      <w:bCs/>
      <w:kern w:val="28"/>
      <w:sz w:val="32"/>
      <w:szCs w:val="32"/>
    </w:rPr>
  </w:style>
  <w:style w:type="paragraph" w:styleId="21">
    <w:name w:val="toc 6"/>
    <w:basedOn w:val="1"/>
    <w:next w:val="1"/>
    <w:qFormat/>
    <w:uiPriority w:val="39"/>
    <w:pPr>
      <w:tabs>
        <w:tab w:val="clear" w:pos="0"/>
      </w:tabs>
      <w:ind w:left="1200"/>
    </w:pPr>
    <w:rPr>
      <w:rFonts w:asciiTheme="minorHAnsi" w:hAnsiTheme="minorHAnsi" w:cstheme="minorHAnsi"/>
      <w:sz w:val="18"/>
      <w:szCs w:val="18"/>
    </w:rPr>
  </w:style>
  <w:style w:type="paragraph" w:styleId="22">
    <w:name w:val="toc 2"/>
    <w:basedOn w:val="1"/>
    <w:next w:val="1"/>
    <w:qFormat/>
    <w:uiPriority w:val="0"/>
    <w:pPr>
      <w:wordWrap w:val="0"/>
      <w:topLinePunct/>
      <w:spacing w:line="400" w:lineRule="exact"/>
      <w:ind w:left="420" w:leftChars="200"/>
    </w:pPr>
    <w:rPr>
      <w:rFonts w:ascii="宋体" w:hAnsi="宋体" w:eastAsia="宋体"/>
      <w:sz w:val="21"/>
    </w:rPr>
  </w:style>
  <w:style w:type="paragraph" w:styleId="23">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4">
    <w:name w:val="Title"/>
    <w:basedOn w:val="1"/>
    <w:next w:val="1"/>
    <w:link w:val="80"/>
    <w:qFormat/>
    <w:uiPriority w:val="10"/>
    <w:pPr>
      <w:widowControl/>
      <w:spacing w:before="60" w:after="60"/>
      <w:jc w:val="center"/>
      <w:outlineLvl w:val="0"/>
    </w:pPr>
    <w:rPr>
      <w:rFonts w:ascii="Cambria" w:hAnsi="Cambria"/>
      <w:b/>
      <w:bCs/>
      <w:kern w:val="0"/>
      <w:sz w:val="24"/>
      <w:szCs w:val="32"/>
    </w:rPr>
  </w:style>
  <w:style w:type="table" w:styleId="26">
    <w:name w:val="Table Grid"/>
    <w:basedOn w:val="25"/>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8">
    <w:name w:val="Strong"/>
    <w:basedOn w:val="27"/>
    <w:qFormat/>
    <w:uiPriority w:val="99"/>
    <w:rPr>
      <w:b/>
      <w:bCs/>
    </w:rPr>
  </w:style>
  <w:style w:type="character" w:styleId="29">
    <w:name w:val="Emphasis"/>
    <w:basedOn w:val="27"/>
    <w:qFormat/>
    <w:uiPriority w:val="99"/>
  </w:style>
  <w:style w:type="character" w:styleId="30">
    <w:name w:val="Hyperlink"/>
    <w:basedOn w:val="27"/>
    <w:qFormat/>
    <w:uiPriority w:val="0"/>
    <w:rPr>
      <w:color w:val="0000FF"/>
      <w:u w:val="single"/>
    </w:rPr>
  </w:style>
  <w:style w:type="character" w:styleId="31">
    <w:name w:val="annotation reference"/>
    <w:qFormat/>
    <w:uiPriority w:val="0"/>
    <w:rPr>
      <w:sz w:val="21"/>
      <w:szCs w:val="21"/>
    </w:rPr>
  </w:style>
  <w:style w:type="paragraph" w:customStyle="1" w:styleId="32">
    <w:name w:val="标题 5（有编号）（绿盟科技）"/>
    <w:basedOn w:val="33"/>
    <w:next w:val="34"/>
    <w:qFormat/>
    <w:uiPriority w:val="0"/>
    <w:pPr>
      <w:keepNext/>
      <w:keepLines/>
      <w:numPr>
        <w:ilvl w:val="4"/>
        <w:numId w:val="2"/>
      </w:numPr>
      <w:tabs>
        <w:tab w:val="left" w:pos="0"/>
      </w:tabs>
      <w:spacing w:before="280" w:after="156" w:line="377" w:lineRule="auto"/>
      <w:jc w:val="left"/>
      <w:outlineLvl w:val="4"/>
    </w:pPr>
    <w:rPr>
      <w:rFonts w:ascii="Arial" w:hAnsi="Arial" w:eastAsia="黑体"/>
      <w:b/>
      <w:kern w:val="0"/>
      <w:sz w:val="24"/>
      <w:szCs w:val="28"/>
    </w:rPr>
  </w:style>
  <w:style w:type="paragraph" w:customStyle="1" w:styleId="33">
    <w:name w:val="正文1"/>
    <w:qFormat/>
    <w:uiPriority w:val="0"/>
    <w:pPr>
      <w:widowControl w:val="0"/>
      <w:tabs>
        <w:tab w:val="left" w:pos="0"/>
      </w:tabs>
      <w:adjustRightInd w:val="0"/>
      <w:snapToGrid w:val="0"/>
      <w:spacing w:line="440" w:lineRule="exact"/>
    </w:pPr>
    <w:rPr>
      <w:rFonts w:ascii="宋体" w:hAnsi="宋体" w:eastAsia="宋体" w:cs="Times New Roman"/>
      <w:kern w:val="2"/>
      <w:sz w:val="24"/>
      <w:szCs w:val="24"/>
      <w:lang w:val="en-US" w:eastAsia="zh-CN" w:bidi="ar-SA"/>
    </w:rPr>
  </w:style>
  <w:style w:type="paragraph" w:customStyle="1" w:styleId="34">
    <w:name w:val="正文（绿盟科技）"/>
    <w:next w:val="1"/>
    <w:qFormat/>
    <w:uiPriority w:val="0"/>
    <w:pPr>
      <w:spacing w:line="300" w:lineRule="auto"/>
    </w:pPr>
    <w:rPr>
      <w:rFonts w:ascii="Arial" w:hAnsi="Arial" w:eastAsia="宋体" w:cs="黑体"/>
      <w:sz w:val="21"/>
      <w:szCs w:val="21"/>
      <w:lang w:val="en-US" w:eastAsia="zh-CN" w:bidi="ar-SA"/>
    </w:rPr>
  </w:style>
  <w:style w:type="character" w:customStyle="1" w:styleId="35">
    <w:name w:val="页眉 Char"/>
    <w:basedOn w:val="27"/>
    <w:link w:val="16"/>
    <w:qFormat/>
    <w:uiPriority w:val="0"/>
    <w:rPr>
      <w:rFonts w:ascii="宋体" w:hAnsi="宋体" w:eastAsia="宋体" w:cstheme="minorBidi"/>
      <w:kern w:val="2"/>
      <w:sz w:val="18"/>
      <w:szCs w:val="18"/>
    </w:rPr>
  </w:style>
  <w:style w:type="character" w:customStyle="1" w:styleId="36">
    <w:name w:val="页脚 Char"/>
    <w:basedOn w:val="27"/>
    <w:link w:val="15"/>
    <w:qFormat/>
    <w:uiPriority w:val="0"/>
    <w:rPr>
      <w:rFonts w:ascii="宋体" w:hAnsi="宋体" w:eastAsia="宋体" w:cstheme="minorBidi"/>
      <w:kern w:val="2"/>
      <w:sz w:val="18"/>
      <w:szCs w:val="18"/>
    </w:rPr>
  </w:style>
  <w:style w:type="character" w:customStyle="1" w:styleId="37">
    <w:name w:val="标题 2 Char"/>
    <w:basedOn w:val="27"/>
    <w:link w:val="3"/>
    <w:qFormat/>
    <w:uiPriority w:val="0"/>
    <w:rPr>
      <w:rFonts w:ascii="Arial" w:hAnsi="Arial" w:eastAsia="黑体"/>
      <w:b/>
      <w:sz w:val="28"/>
    </w:rPr>
  </w:style>
  <w:style w:type="paragraph" w:customStyle="1" w:styleId="38">
    <w:name w:val="05、“(一)”正文三级标题"/>
    <w:basedOn w:val="1"/>
    <w:link w:val="64"/>
    <w:qFormat/>
    <w:uiPriority w:val="0"/>
    <w:pPr>
      <w:numPr>
        <w:ilvl w:val="1"/>
        <w:numId w:val="1"/>
      </w:numPr>
      <w:wordWrap w:val="0"/>
      <w:topLinePunct/>
      <w:ind w:firstLine="803" w:firstLineChars="200"/>
    </w:pPr>
    <w:rPr>
      <w:rFonts w:ascii="宋体" w:hAnsi="宋体" w:eastAsia="宋体"/>
    </w:rPr>
  </w:style>
  <w:style w:type="paragraph" w:customStyle="1" w:styleId="39">
    <w:name w:val="00、封面正文(与其他内容无关的格式)"/>
    <w:basedOn w:val="1"/>
    <w:qFormat/>
    <w:uiPriority w:val="0"/>
    <w:rPr>
      <w:rFonts w:ascii="宋体" w:hAnsi="宋体" w:eastAsia="宋体"/>
    </w:rPr>
  </w:style>
  <w:style w:type="paragraph" w:customStyle="1" w:styleId="40">
    <w:name w:val="15、“一、”二级标题"/>
    <w:basedOn w:val="1"/>
    <w:qFormat/>
    <w:uiPriority w:val="0"/>
    <w:pPr>
      <w:numPr>
        <w:ilvl w:val="1"/>
        <w:numId w:val="3"/>
      </w:numPr>
      <w:wordWrap w:val="0"/>
      <w:topLinePunct/>
      <w:ind w:firstLine="803" w:firstLineChars="200"/>
      <w:outlineLvl w:val="1"/>
    </w:pPr>
    <w:rPr>
      <w:rFonts w:ascii="宋体" w:hAnsi="宋体" w:eastAsia="宋体"/>
      <w:b/>
    </w:rPr>
  </w:style>
  <w:style w:type="paragraph" w:customStyle="1" w:styleId="41">
    <w:name w:val="06、“1.”正文四级标题"/>
    <w:basedOn w:val="1"/>
    <w:link w:val="66"/>
    <w:qFormat/>
    <w:uiPriority w:val="0"/>
    <w:pPr>
      <w:numPr>
        <w:ilvl w:val="2"/>
        <w:numId w:val="1"/>
      </w:numPr>
      <w:wordWrap w:val="0"/>
      <w:topLinePunct/>
      <w:ind w:firstLine="803" w:firstLineChars="200"/>
    </w:pPr>
    <w:rPr>
      <w:rFonts w:ascii="宋体" w:hAnsi="宋体" w:eastAsia="宋体"/>
      <w:snapToGrid w:val="0"/>
    </w:rPr>
  </w:style>
  <w:style w:type="paragraph" w:customStyle="1" w:styleId="42">
    <w:name w:val="07、“1.1”正文五级标题"/>
    <w:basedOn w:val="1"/>
    <w:link w:val="58"/>
    <w:qFormat/>
    <w:uiPriority w:val="0"/>
    <w:pPr>
      <w:numPr>
        <w:ilvl w:val="3"/>
        <w:numId w:val="1"/>
      </w:numPr>
      <w:ind w:firstLine="803" w:firstLineChars="200"/>
    </w:pPr>
    <w:rPr>
      <w:rFonts w:ascii="宋体" w:hAnsi="宋体" w:eastAsia="宋体"/>
    </w:rPr>
  </w:style>
  <w:style w:type="paragraph" w:customStyle="1" w:styleId="43">
    <w:name w:val="08、“(1)”正文六级标题"/>
    <w:basedOn w:val="1"/>
    <w:link w:val="67"/>
    <w:qFormat/>
    <w:uiPriority w:val="0"/>
    <w:pPr>
      <w:numPr>
        <w:ilvl w:val="4"/>
        <w:numId w:val="1"/>
      </w:numPr>
      <w:ind w:firstLine="803" w:firstLineChars="200"/>
    </w:pPr>
    <w:rPr>
      <w:rFonts w:ascii="宋体" w:hAnsi="宋体" w:eastAsia="宋体"/>
      <w:snapToGrid w:val="0"/>
    </w:rPr>
  </w:style>
  <w:style w:type="paragraph" w:customStyle="1" w:styleId="44">
    <w:name w:val="09、“1.”表格内一级标题"/>
    <w:basedOn w:val="1"/>
    <w:qFormat/>
    <w:uiPriority w:val="0"/>
    <w:pPr>
      <w:numPr>
        <w:ilvl w:val="0"/>
        <w:numId w:val="4"/>
      </w:numPr>
      <w:wordWrap w:val="0"/>
      <w:topLinePunct/>
      <w:spacing w:line="360" w:lineRule="exact"/>
      <w:ind w:left="48" w:leftChars="20"/>
    </w:pPr>
    <w:rPr>
      <w:rFonts w:ascii="宋体" w:hAnsi="宋体" w:eastAsia="宋体"/>
      <w:snapToGrid w:val="0"/>
      <w:sz w:val="21"/>
    </w:rPr>
  </w:style>
  <w:style w:type="paragraph" w:customStyle="1" w:styleId="45">
    <w:name w:val="10、“1.1”表格内二级标题"/>
    <w:basedOn w:val="1"/>
    <w:link w:val="57"/>
    <w:qFormat/>
    <w:uiPriority w:val="0"/>
    <w:pPr>
      <w:numPr>
        <w:ilvl w:val="1"/>
        <w:numId w:val="4"/>
      </w:numPr>
      <w:wordWrap w:val="0"/>
      <w:topLinePunct/>
      <w:spacing w:line="360" w:lineRule="exact"/>
      <w:ind w:left="48" w:leftChars="20" w:firstLine="0" w:firstLineChars="0"/>
    </w:pPr>
    <w:rPr>
      <w:rFonts w:ascii="宋体" w:hAnsi="宋体" w:eastAsia="宋体"/>
      <w:snapToGrid w:val="0"/>
      <w:sz w:val="21"/>
    </w:rPr>
  </w:style>
  <w:style w:type="paragraph" w:customStyle="1" w:styleId="46">
    <w:name w:val="11、“1.1.1”表格内三级标题"/>
    <w:basedOn w:val="1"/>
    <w:qFormat/>
    <w:uiPriority w:val="0"/>
    <w:pPr>
      <w:numPr>
        <w:ilvl w:val="2"/>
        <w:numId w:val="4"/>
      </w:numPr>
      <w:wordWrap w:val="0"/>
      <w:topLinePunct/>
      <w:spacing w:line="360" w:lineRule="exact"/>
      <w:ind w:left="48" w:leftChars="20" w:firstLine="0" w:firstLineChars="0"/>
    </w:pPr>
    <w:rPr>
      <w:rFonts w:ascii="宋体" w:hAnsi="宋体" w:eastAsia="宋体"/>
      <w:snapToGrid w:val="0"/>
      <w:sz w:val="21"/>
    </w:rPr>
  </w:style>
  <w:style w:type="paragraph" w:customStyle="1" w:styleId="47">
    <w:name w:val="12、表格内左对齐正文"/>
    <w:basedOn w:val="1"/>
    <w:link w:val="68"/>
    <w:qFormat/>
    <w:uiPriority w:val="0"/>
    <w:pPr>
      <w:wordWrap w:val="0"/>
      <w:topLinePunct/>
      <w:spacing w:line="360" w:lineRule="exact"/>
      <w:ind w:left="48" w:leftChars="20" w:firstLine="0" w:firstLineChars="0"/>
    </w:pPr>
    <w:rPr>
      <w:rFonts w:ascii="宋体" w:hAnsi="宋体" w:eastAsia="宋体"/>
      <w:snapToGrid w:val="0"/>
      <w:sz w:val="21"/>
    </w:rPr>
  </w:style>
  <w:style w:type="paragraph" w:customStyle="1" w:styleId="48">
    <w:name w:val="01、普通正文"/>
    <w:basedOn w:val="1"/>
    <w:link w:val="62"/>
    <w:qFormat/>
    <w:uiPriority w:val="0"/>
    <w:pPr>
      <w:wordWrap w:val="0"/>
      <w:topLinePunct/>
      <w:ind w:firstLine="0" w:firstLineChars="0"/>
    </w:pPr>
    <w:rPr>
      <w:rFonts w:ascii="宋体" w:hAnsi="宋体" w:eastAsia="宋体"/>
      <w:snapToGrid w:val="0"/>
    </w:rPr>
  </w:style>
  <w:style w:type="paragraph" w:customStyle="1" w:styleId="49">
    <w:name w:val="20、第五章“(一)”三级标题"/>
    <w:basedOn w:val="48"/>
    <w:link w:val="59"/>
    <w:qFormat/>
    <w:uiPriority w:val="0"/>
    <w:pPr>
      <w:pageBreakBefore/>
      <w:numPr>
        <w:ilvl w:val="0"/>
        <w:numId w:val="5"/>
      </w:numPr>
      <w:spacing w:before="50" w:beforeLines="50" w:after="50" w:afterLines="50"/>
      <w:jc w:val="center"/>
      <w:outlineLvl w:val="2"/>
    </w:pPr>
    <w:rPr>
      <w:rFonts w:ascii="宋体" w:hAnsi="宋体" w:eastAsia="宋体"/>
      <w:b/>
      <w:sz w:val="28"/>
    </w:rPr>
  </w:style>
  <w:style w:type="paragraph" w:customStyle="1" w:styleId="50">
    <w:name w:val="13、表格内居中正文"/>
    <w:basedOn w:val="1"/>
    <w:qFormat/>
    <w:uiPriority w:val="0"/>
    <w:pPr>
      <w:wordWrap w:val="0"/>
      <w:topLinePunct/>
      <w:spacing w:line="360" w:lineRule="exact"/>
      <w:jc w:val="center"/>
    </w:pPr>
    <w:rPr>
      <w:rFonts w:ascii="宋体" w:hAnsi="宋体" w:eastAsia="宋体"/>
      <w:sz w:val="21"/>
    </w:rPr>
  </w:style>
  <w:style w:type="paragraph" w:customStyle="1" w:styleId="51">
    <w:name w:val="02、首行缩进2字符正文"/>
    <w:basedOn w:val="52"/>
    <w:link w:val="61"/>
    <w:qFormat/>
    <w:uiPriority w:val="0"/>
    <w:pPr>
      <w:tabs>
        <w:tab w:val="left" w:pos="0"/>
      </w:tabs>
      <w:wordWrap w:val="0"/>
      <w:topLinePunct/>
      <w:ind w:firstLine="480" w:firstLineChars="200"/>
    </w:pPr>
    <w:rPr>
      <w:rFonts w:ascii="宋体" w:hAnsi="宋体" w:eastAsia="宋体"/>
    </w:rPr>
  </w:style>
  <w:style w:type="paragraph" w:customStyle="1" w:styleId="52">
    <w:name w:val="正文_2"/>
    <w:next w:val="32"/>
    <w:qFormat/>
    <w:uiPriority w:val="0"/>
    <w:pPr>
      <w:widowControl w:val="0"/>
      <w:spacing w:line="360" w:lineRule="auto"/>
      <w:jc w:val="both"/>
    </w:pPr>
    <w:rPr>
      <w:rFonts w:ascii="等线" w:hAnsi="等线" w:eastAsia="仿宋" w:cs="Times New Roman"/>
      <w:kern w:val="2"/>
      <w:sz w:val="24"/>
      <w:szCs w:val="22"/>
      <w:lang w:val="en-US" w:eastAsia="zh-CN" w:bidi="ar-SA"/>
    </w:rPr>
  </w:style>
  <w:style w:type="paragraph" w:customStyle="1" w:styleId="53">
    <w:name w:val="03、“注：”正文(加粗，首行缩进2字符)"/>
    <w:basedOn w:val="48"/>
    <w:link w:val="63"/>
    <w:qFormat/>
    <w:uiPriority w:val="0"/>
    <w:pPr>
      <w:ind w:firstLine="480" w:firstLineChars="200"/>
    </w:pPr>
    <w:rPr>
      <w:b/>
    </w:rPr>
  </w:style>
  <w:style w:type="paragraph" w:customStyle="1" w:styleId="54">
    <w:name w:val="14、“第一章”一级标题"/>
    <w:basedOn w:val="48"/>
    <w:qFormat/>
    <w:uiPriority w:val="0"/>
    <w:pPr>
      <w:numPr>
        <w:ilvl w:val="0"/>
        <w:numId w:val="3"/>
      </w:numPr>
      <w:spacing w:before="50" w:beforeLines="50" w:after="50" w:afterLines="50" w:line="240" w:lineRule="auto"/>
      <w:jc w:val="center"/>
      <w:outlineLvl w:val="0"/>
    </w:pPr>
    <w:rPr>
      <w:b/>
      <w:sz w:val="36"/>
    </w:rPr>
  </w:style>
  <w:style w:type="paragraph" w:customStyle="1" w:styleId="55">
    <w:name w:val="16、“(一)”三级标题"/>
    <w:basedOn w:val="48"/>
    <w:link w:val="60"/>
    <w:qFormat/>
    <w:uiPriority w:val="0"/>
    <w:pPr>
      <w:numPr>
        <w:ilvl w:val="2"/>
        <w:numId w:val="3"/>
      </w:numPr>
      <w:ind w:firstLine="803" w:firstLineChars="200"/>
      <w:outlineLvl w:val="2"/>
    </w:pPr>
    <w:rPr>
      <w:rFonts w:ascii="宋体" w:hAnsi="宋体" w:eastAsia="宋体"/>
      <w:b/>
    </w:rPr>
  </w:style>
  <w:style w:type="paragraph" w:customStyle="1" w:styleId="56">
    <w:name w:val="04“一、”正文二级标题"/>
    <w:basedOn w:val="48"/>
    <w:link w:val="65"/>
    <w:qFormat/>
    <w:uiPriority w:val="0"/>
    <w:pPr>
      <w:ind w:firstLine="803" w:firstLineChars="200"/>
    </w:pPr>
  </w:style>
  <w:style w:type="character" w:customStyle="1" w:styleId="57">
    <w:name w:val="10、“1.1”表格内二级标题 Char"/>
    <w:link w:val="45"/>
    <w:qFormat/>
    <w:uiPriority w:val="0"/>
    <w:rPr>
      <w:rFonts w:ascii="宋体" w:hAnsi="宋体" w:eastAsia="宋体"/>
      <w:snapToGrid w:val="0"/>
      <w:sz w:val="21"/>
    </w:rPr>
  </w:style>
  <w:style w:type="character" w:customStyle="1" w:styleId="58">
    <w:name w:val="07、“1.1”正文五级标题 Char"/>
    <w:link w:val="42"/>
    <w:qFormat/>
    <w:uiPriority w:val="0"/>
    <w:rPr>
      <w:rFonts w:ascii="宋体" w:hAnsi="宋体" w:eastAsia="宋体"/>
    </w:rPr>
  </w:style>
  <w:style w:type="character" w:customStyle="1" w:styleId="59">
    <w:name w:val="18、第三章“(一)”三级标题 Char"/>
    <w:link w:val="49"/>
    <w:qFormat/>
    <w:uiPriority w:val="0"/>
    <w:rPr>
      <w:rFonts w:ascii="宋体" w:hAnsi="宋体" w:eastAsia="宋体"/>
      <w:b/>
      <w:sz w:val="28"/>
    </w:rPr>
  </w:style>
  <w:style w:type="character" w:customStyle="1" w:styleId="60">
    <w:name w:val="16、“(一)”三级标题 Char"/>
    <w:link w:val="55"/>
    <w:qFormat/>
    <w:uiPriority w:val="0"/>
    <w:rPr>
      <w:rFonts w:ascii="宋体" w:hAnsi="宋体" w:eastAsia="宋体"/>
      <w:b/>
    </w:rPr>
  </w:style>
  <w:style w:type="character" w:customStyle="1" w:styleId="61">
    <w:name w:val="02、首行缩进2字符正文 Char"/>
    <w:link w:val="51"/>
    <w:qFormat/>
    <w:uiPriority w:val="0"/>
    <w:rPr>
      <w:rFonts w:ascii="宋体" w:hAnsi="宋体" w:eastAsia="宋体"/>
    </w:rPr>
  </w:style>
  <w:style w:type="character" w:customStyle="1" w:styleId="62">
    <w:name w:val="01、普通正文 Char"/>
    <w:link w:val="48"/>
    <w:qFormat/>
    <w:uiPriority w:val="0"/>
    <w:rPr>
      <w:rFonts w:ascii="宋体" w:hAnsi="宋体" w:eastAsia="宋体"/>
      <w:snapToGrid w:val="0"/>
    </w:rPr>
  </w:style>
  <w:style w:type="character" w:customStyle="1" w:styleId="63">
    <w:name w:val="03、“注：”正文(加粗，首行缩进2字符) Char"/>
    <w:link w:val="53"/>
    <w:qFormat/>
    <w:uiPriority w:val="0"/>
    <w:rPr>
      <w:b/>
    </w:rPr>
  </w:style>
  <w:style w:type="character" w:customStyle="1" w:styleId="64">
    <w:name w:val="05、“(一)”正文三级标题 Char"/>
    <w:link w:val="38"/>
    <w:qFormat/>
    <w:uiPriority w:val="0"/>
    <w:rPr>
      <w:rFonts w:ascii="宋体" w:hAnsi="宋体" w:eastAsia="宋体"/>
    </w:rPr>
  </w:style>
  <w:style w:type="character" w:customStyle="1" w:styleId="65">
    <w:name w:val="04“一、”正文二级标题 Char"/>
    <w:link w:val="56"/>
    <w:qFormat/>
    <w:uiPriority w:val="0"/>
  </w:style>
  <w:style w:type="character" w:customStyle="1" w:styleId="66">
    <w:name w:val="06、“1.”正文四级标题 Char"/>
    <w:link w:val="41"/>
    <w:qFormat/>
    <w:uiPriority w:val="0"/>
    <w:rPr>
      <w:rFonts w:ascii="宋体" w:hAnsi="宋体" w:eastAsia="宋体"/>
      <w:snapToGrid w:val="0"/>
    </w:rPr>
  </w:style>
  <w:style w:type="character" w:customStyle="1" w:styleId="67">
    <w:name w:val="08、“(1)”正文六级标题 Char"/>
    <w:link w:val="43"/>
    <w:qFormat/>
    <w:uiPriority w:val="0"/>
    <w:rPr>
      <w:rFonts w:ascii="宋体" w:hAnsi="宋体" w:eastAsia="宋体"/>
      <w:snapToGrid w:val="0"/>
    </w:rPr>
  </w:style>
  <w:style w:type="character" w:customStyle="1" w:styleId="68">
    <w:name w:val="12、表格内左对齐正文 Char"/>
    <w:link w:val="47"/>
    <w:qFormat/>
    <w:uiPriority w:val="0"/>
    <w:rPr>
      <w:rFonts w:ascii="宋体" w:hAnsi="宋体" w:eastAsia="宋体"/>
      <w:snapToGrid w:val="0"/>
      <w:sz w:val="21"/>
    </w:rPr>
  </w:style>
  <w:style w:type="paragraph" w:customStyle="1" w:styleId="69">
    <w:name w:val="17“1.”四级标题"/>
    <w:basedOn w:val="51"/>
    <w:link w:val="73"/>
    <w:qFormat/>
    <w:uiPriority w:val="0"/>
    <w:pPr>
      <w:numPr>
        <w:ilvl w:val="3"/>
        <w:numId w:val="3"/>
      </w:numPr>
      <w:ind w:firstLine="803" w:firstLineChars="200"/>
    </w:pPr>
    <w:rPr>
      <w:rFonts w:ascii="宋体" w:hAnsi="宋体" w:eastAsia="宋体"/>
    </w:rPr>
  </w:style>
  <w:style w:type="paragraph" w:customStyle="1" w:styleId="70">
    <w:name w:val="18、“1.1”五级标题"/>
    <w:basedOn w:val="69"/>
    <w:qFormat/>
    <w:uiPriority w:val="0"/>
    <w:pPr>
      <w:numPr>
        <w:ilvl w:val="4"/>
        <w:numId w:val="3"/>
      </w:numPr>
      <w:ind w:firstLine="803" w:firstLineChars="200"/>
    </w:pPr>
  </w:style>
  <w:style w:type="paragraph" w:customStyle="1" w:styleId="71">
    <w:name w:val="19、“(1)”六级标题"/>
    <w:basedOn w:val="69"/>
    <w:qFormat/>
    <w:uiPriority w:val="0"/>
    <w:pPr>
      <w:numPr>
        <w:ilvl w:val="5"/>
        <w:numId w:val="3"/>
      </w:numPr>
      <w:ind w:firstLine="803" w:firstLineChars="200"/>
    </w:pPr>
  </w:style>
  <w:style w:type="paragraph" w:customStyle="1" w:styleId="72">
    <w:name w:val="21、合同二级标题序号"/>
    <w:basedOn w:val="48"/>
    <w:qFormat/>
    <w:uiPriority w:val="0"/>
    <w:pPr>
      <w:numPr>
        <w:ilvl w:val="0"/>
        <w:numId w:val="6"/>
      </w:numPr>
      <w:ind w:firstLine="803" w:firstLineChars="200"/>
      <w:outlineLvl w:val="1"/>
    </w:pPr>
    <w:rPr>
      <w:rFonts w:ascii="宋体" w:hAnsi="宋体" w:eastAsia="宋体"/>
      <w:b/>
    </w:rPr>
  </w:style>
  <w:style w:type="character" w:customStyle="1" w:styleId="73">
    <w:name w:val="17“1.”四级标题 Char"/>
    <w:link w:val="69"/>
    <w:qFormat/>
    <w:uiPriority w:val="0"/>
    <w:rPr>
      <w:rFonts w:ascii="宋体" w:hAnsi="宋体" w:eastAsia="宋体"/>
    </w:rPr>
  </w:style>
  <w:style w:type="paragraph" w:customStyle="1" w:styleId="74">
    <w:name w:val="正文首行缩进两字符"/>
    <w:basedOn w:val="1"/>
    <w:qFormat/>
    <w:uiPriority w:val="0"/>
    <w:pPr>
      <w:widowControl w:val="0"/>
      <w:spacing w:line="360" w:lineRule="auto"/>
      <w:ind w:firstLine="200" w:firstLineChars="200"/>
      <w:jc w:val="both"/>
    </w:pPr>
    <w:rPr>
      <w:kern w:val="2"/>
      <w:sz w:val="21"/>
      <w:szCs w:val="20"/>
    </w:rPr>
  </w:style>
  <w:style w:type="paragraph" w:customStyle="1" w:styleId="75">
    <w:name w:val="样式 首行缩进:  2 字符"/>
    <w:basedOn w:val="1"/>
    <w:qFormat/>
    <w:uiPriority w:val="0"/>
    <w:pPr>
      <w:widowControl w:val="0"/>
      <w:ind w:firstLine="420" w:firstLineChars="200"/>
      <w:jc w:val="both"/>
    </w:pPr>
    <w:rPr>
      <w:rFonts w:cs="宋体"/>
      <w:kern w:val="2"/>
      <w:sz w:val="21"/>
      <w:szCs w:val="20"/>
    </w:rPr>
  </w:style>
  <w:style w:type="paragraph" w:customStyle="1" w:styleId="76">
    <w:name w:val="21、第三章“(一)”三级标题"/>
    <w:basedOn w:val="48"/>
    <w:qFormat/>
    <w:uiPriority w:val="0"/>
    <w:pPr>
      <w:pageBreakBefore/>
      <w:numPr>
        <w:ilvl w:val="0"/>
        <w:numId w:val="5"/>
      </w:numPr>
      <w:spacing w:before="50" w:beforeLines="50" w:after="50" w:afterLines="50"/>
      <w:jc w:val="center"/>
      <w:outlineLvl w:val="2"/>
    </w:pPr>
    <w:rPr>
      <w:rFonts w:ascii="宋体" w:hAnsi="宋体" w:eastAsia="宋体"/>
      <w:b/>
      <w:sz w:val="28"/>
    </w:rPr>
  </w:style>
  <w:style w:type="paragraph" w:customStyle="1" w:styleId="77">
    <w:name w:val="表格字体"/>
    <w:basedOn w:val="1"/>
    <w:qFormat/>
    <w:uiPriority w:val="99"/>
    <w:pPr>
      <w:widowControl/>
      <w:spacing w:line="400" w:lineRule="exact"/>
    </w:pPr>
    <w:rPr>
      <w:rFonts w:cs="宋体"/>
      <w:bCs/>
      <w:color w:val="000000"/>
      <w:kern w:val="0"/>
      <w:sz w:val="24"/>
      <w:szCs w:val="18"/>
    </w:rPr>
  </w:style>
  <w:style w:type="paragraph" w:customStyle="1" w:styleId="78">
    <w:name w:val="p0"/>
    <w:basedOn w:val="1"/>
    <w:qFormat/>
    <w:uiPriority w:val="0"/>
    <w:pPr>
      <w:widowControl/>
    </w:pPr>
    <w:rPr>
      <w:kern w:val="0"/>
      <w:szCs w:val="21"/>
    </w:rPr>
  </w:style>
  <w:style w:type="character" w:customStyle="1" w:styleId="79">
    <w:name w:val="15"/>
    <w:qFormat/>
    <w:uiPriority w:val="0"/>
    <w:rPr>
      <w:rFonts w:hint="default" w:ascii="Times New Roman" w:hAnsi="Times New Roman" w:cs="Times New Roman"/>
      <w:color w:val="464445"/>
      <w:u w:val="none"/>
    </w:rPr>
  </w:style>
  <w:style w:type="character" w:customStyle="1" w:styleId="80">
    <w:name w:val="标题 字符"/>
    <w:link w:val="24"/>
    <w:qFormat/>
    <w:uiPriority w:val="10"/>
    <w:rPr>
      <w:rFonts w:ascii="Cambria" w:hAnsi="Cambria"/>
      <w:b/>
      <w:bCs/>
      <w:kern w:val="0"/>
      <w:sz w:val="24"/>
      <w:szCs w:val="32"/>
    </w:rPr>
  </w:style>
  <w:style w:type="paragraph" w:customStyle="1" w:styleId="81">
    <w:name w:val="null3"/>
    <w:hidden/>
    <w:qFormat/>
    <w:uiPriority w:val="0"/>
    <w:rPr>
      <w:rFonts w:hint="eastAsia" w:asciiTheme="minorHAnsi" w:hAnsiTheme="minorHAnsi" w:eastAsiaTheme="minorEastAsia" w:cstheme="minorBidi"/>
      <w:lang w:val="en-US" w:eastAsia="zh-Hans" w:bidi="ar-SA"/>
    </w:rPr>
  </w:style>
  <w:style w:type="character" w:customStyle="1" w:styleId="82">
    <w:name w:val="副标题 字符"/>
    <w:link w:val="20"/>
    <w:qFormat/>
    <w:uiPriority w:val="11"/>
    <w:rPr>
      <w:rFonts w:ascii="Calibri Light" w:hAnsi="Calibri Light"/>
      <w:b/>
      <w:bCs/>
      <w:kern w:val="28"/>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glossaryDocument" Target="glossary/document.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2.png"/><Relationship Id="rId18" Type="http://schemas.openxmlformats.org/officeDocument/2006/relationships/theme" Target="theme/theme1.xml"/><Relationship Id="rId17" Type="http://schemas.openxmlformats.org/officeDocument/2006/relationships/footer" Target="footer6.xml"/><Relationship Id="rId16" Type="http://schemas.openxmlformats.org/officeDocument/2006/relationships/footer" Target="footer5.xml"/><Relationship Id="rId15" Type="http://schemas.openxmlformats.org/officeDocument/2006/relationships/header" Target="header7.xml"/><Relationship Id="rId14" Type="http://schemas.openxmlformats.org/officeDocument/2006/relationships/header" Target="header6.xml"/><Relationship Id="rId13" Type="http://schemas.openxmlformats.org/officeDocument/2006/relationships/footer" Target="footer4.xml"/><Relationship Id="rId12" Type="http://schemas.openxmlformats.org/officeDocument/2006/relationships/footer" Target="footer3.xml"/><Relationship Id="rId11" Type="http://schemas.openxmlformats.org/officeDocument/2006/relationships/header" Target="header5.xml"/><Relationship Id="rId10" Type="http://schemas.openxmlformats.org/officeDocument/2006/relationships/header" Target="head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9222e33-d466-4bfe-8952-6ad0f6cc148c}"/>
        <w:style w:val=""/>
        <w:category>
          <w:name w:val="常规"/>
          <w:gallery w:val="placeholder"/>
        </w:category>
        <w:types>
          <w:type w:val="bbPlcHdr"/>
        </w:types>
        <w:behaviors>
          <w:behavior w:val="content"/>
        </w:behaviors>
        <w:description w:val=""/>
        <w:guid w:val="{59222e33-d466-4bfe-8952-6ad0f6cc148c}"/>
      </w:docPartPr>
      <w:docPartBody>
        <w:p w14:paraId="76F8FCB1">
          <w:pPr>
            <w:pStyle w:val="2"/>
          </w:pPr>
          <w:r>
            <w:rPr>
              <w:rStyle w:val="3"/>
              <w:rFonts w:hint="eastAsia"/>
              <w:color w:val="FF0000"/>
            </w:rPr>
            <w:t>选择一项。</w:t>
          </w:r>
        </w:p>
      </w:docPartBody>
    </w:docPart>
    <w:docPart>
      <w:docPartPr>
        <w:name w:val="{aa2c562d-610f-40d7-bd86-06ee04901a83}"/>
        <w:style w:val=""/>
        <w:category>
          <w:name w:val="常规"/>
          <w:gallery w:val="placeholder"/>
        </w:category>
        <w:types>
          <w:type w:val="bbPlcHdr"/>
        </w:types>
        <w:behaviors>
          <w:behavior w:val="content"/>
        </w:behaviors>
        <w:description w:val=""/>
        <w:guid w:val="{aa2c562d-610f-40d7-bd86-06ee04901a83}"/>
      </w:docPartPr>
      <w:docPartBody>
        <w:p w14:paraId="5D3BDA15">
          <w:pPr>
            <w:pStyle w:val="4"/>
          </w:pPr>
          <w:r>
            <w:rPr>
              <w:rStyle w:val="3"/>
              <w:rFonts w:hint="eastAsia"/>
              <w:color w:val="FF0000"/>
            </w:rPr>
            <w:t>选择一项。</w:t>
          </w:r>
        </w:p>
      </w:docPartBody>
    </w:docPart>
    <w:docPart>
      <w:docPartPr>
        <w:name w:val="{0a9fdbf9-0954-4898-b22a-86a9f11e7330}"/>
        <w:style w:val=""/>
        <w:category>
          <w:name w:val="常规"/>
          <w:gallery w:val="placeholder"/>
        </w:category>
        <w:types>
          <w:type w:val="bbPlcHdr"/>
        </w:types>
        <w:behaviors>
          <w:behavior w:val="content"/>
        </w:behaviors>
        <w:description w:val=""/>
        <w:guid w:val="{0a9fdbf9-0954-4898-b22a-86a9f11e7330}"/>
      </w:docPartPr>
      <w:docPartBody>
        <w:p w14:paraId="396CA453">
          <w:pPr>
            <w:pStyle w:val="5"/>
          </w:pPr>
          <w:r>
            <w:rPr>
              <w:rStyle w:val="3"/>
              <w:rFonts w:hint="eastAsia"/>
              <w:color w:val="FF0000"/>
            </w:rPr>
            <w:t>选择一项。</w:t>
          </w:r>
        </w:p>
      </w:docPartBody>
    </w:docPart>
    <w:docPart>
      <w:docPartPr>
        <w:name w:val="{515b1c55-bb8e-4a1d-9404-cc1babca94f6}"/>
        <w:style w:val=""/>
        <w:category>
          <w:name w:val="常规"/>
          <w:gallery w:val="placeholder"/>
        </w:category>
        <w:types>
          <w:type w:val="bbPlcHdr"/>
        </w:types>
        <w:behaviors>
          <w:behavior w:val="content"/>
        </w:behaviors>
        <w:description w:val=""/>
        <w:guid w:val="{515b1c55-bb8e-4a1d-9404-cc1babca94f6}"/>
      </w:docPartPr>
      <w:docPartBody>
        <w:p w14:paraId="4A92FF6A">
          <w:pPr>
            <w:pStyle w:val="6"/>
          </w:pPr>
          <w:r>
            <w:rPr>
              <w:rStyle w:val="3"/>
              <w:rFonts w:hint="eastAsia"/>
              <w:color w:val="FF0000"/>
            </w:rPr>
            <w:t>选择一项。</w:t>
          </w:r>
        </w:p>
      </w:docPartBody>
    </w:docPart>
    <w:docPart>
      <w:docPartPr>
        <w:name w:val="{b8a54e21-9388-48ea-8660-b9dcb5a5c020}"/>
        <w:style w:val=""/>
        <w:category>
          <w:name w:val="常规"/>
          <w:gallery w:val="placeholder"/>
        </w:category>
        <w:types>
          <w:type w:val="bbPlcHdr"/>
        </w:types>
        <w:behaviors>
          <w:behavior w:val="content"/>
        </w:behaviors>
        <w:description w:val=""/>
        <w:guid w:val="{b8a54e21-9388-48ea-8660-b9dcb5a5c020}"/>
      </w:docPartPr>
      <w:docPartBody>
        <w:p w14:paraId="2B5DD3C9">
          <w:pPr>
            <w:pStyle w:val="7"/>
          </w:pPr>
          <w:r>
            <w:rPr>
              <w:rStyle w:val="3"/>
              <w:rFonts w:hint="eastAsia"/>
              <w:color w:val="FF0000"/>
            </w:rPr>
            <w:t>选择一项。</w:t>
          </w:r>
        </w:p>
      </w:docPartBody>
    </w:docPart>
    <w:docPart>
      <w:docPartPr>
        <w:name w:val="{8c9a5517-eb60-4a77-8413-753c2dd3e72f}"/>
        <w:style w:val=""/>
        <w:category>
          <w:name w:val="常规"/>
          <w:gallery w:val="placeholder"/>
        </w:category>
        <w:types>
          <w:type w:val="bbPlcHdr"/>
        </w:types>
        <w:behaviors>
          <w:behavior w:val="content"/>
        </w:behaviors>
        <w:description w:val=""/>
        <w:guid w:val="{8c9a5517-eb60-4a77-8413-753c2dd3e72f}"/>
      </w:docPartPr>
      <w:docPartBody>
        <w:p w14:paraId="7DA6AFB3">
          <w:pPr>
            <w:pStyle w:val="8"/>
          </w:pPr>
          <w:r>
            <w:rPr>
              <w:rStyle w:val="3"/>
              <w:rFonts w:hint="eastAsia"/>
              <w:color w:val="FF0000"/>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iPriority="1" w:name="Default Paragraph Font"/>
    <w:lsdException w:qFormat="1" w:unhideWhenUsed="0" w:uiPriority="99" w:name="Placeholder Text"/>
  </w:latentStyles>
  <w:style w:type="character" w:default="1" w:styleId="1">
    <w:name w:val="Default Paragraph Font"/>
    <w:semiHidden/>
    <w:unhideWhenUsed/>
    <w:qFormat/>
    <w:uiPriority w:val="1"/>
  </w:style>
  <w:style w:type="paragraph" w:customStyle="1" w:styleId="2">
    <w:name w:val="DA40E2DD23724021957E69CBB76BEFAB"/>
    <w:qFormat/>
    <w:uiPriority w:val="0"/>
    <w:pPr>
      <w:widowControl w:val="0"/>
      <w:jc w:val="both"/>
    </w:pPr>
    <w:rPr>
      <w:rFonts w:ascii="等线" w:hAnsi="等线" w:eastAsia="等线" w:cs="Times New Roman"/>
      <w:kern w:val="2"/>
      <w:sz w:val="21"/>
      <w:szCs w:val="22"/>
      <w:lang w:val="en-US" w:eastAsia="zh-CN" w:bidi="ar-SA"/>
    </w:rPr>
  </w:style>
  <w:style w:type="character" w:styleId="3">
    <w:name w:val="Placeholder Text"/>
    <w:basedOn w:val="1"/>
    <w:semiHidden/>
    <w:qFormat/>
    <w:uiPriority w:val="99"/>
    <w:rPr>
      <w:color w:val="808080"/>
    </w:rPr>
  </w:style>
  <w:style w:type="paragraph" w:customStyle="1" w:styleId="4">
    <w:name w:val="CB77967870204E82A89A2699B572B26D"/>
    <w:qFormat/>
    <w:uiPriority w:val="0"/>
    <w:pPr>
      <w:widowControl w:val="0"/>
      <w:jc w:val="both"/>
    </w:pPr>
    <w:rPr>
      <w:rFonts w:ascii="等线" w:hAnsi="等线" w:eastAsia="等线" w:cs="Times New Roman"/>
      <w:kern w:val="2"/>
      <w:sz w:val="21"/>
      <w:szCs w:val="22"/>
      <w:lang w:val="en-US" w:eastAsia="zh-CN" w:bidi="ar-SA"/>
    </w:rPr>
  </w:style>
  <w:style w:type="paragraph" w:customStyle="1" w:styleId="5">
    <w:name w:val="90E0F11742FD467FB38A641C8F0F000B"/>
    <w:qFormat/>
    <w:uiPriority w:val="0"/>
    <w:pPr>
      <w:widowControl w:val="0"/>
      <w:jc w:val="both"/>
    </w:pPr>
    <w:rPr>
      <w:rFonts w:ascii="等线" w:hAnsi="等线" w:eastAsia="等线" w:cs="Times New Roman"/>
      <w:kern w:val="2"/>
      <w:sz w:val="21"/>
      <w:szCs w:val="22"/>
      <w:lang w:val="en-US" w:eastAsia="zh-CN" w:bidi="ar-SA"/>
    </w:rPr>
  </w:style>
  <w:style w:type="paragraph" w:customStyle="1" w:styleId="6">
    <w:name w:val="97B6A610FFE84A2BB62B73D594F296F5"/>
    <w:qFormat/>
    <w:uiPriority w:val="0"/>
    <w:pPr>
      <w:widowControl w:val="0"/>
      <w:jc w:val="both"/>
    </w:pPr>
    <w:rPr>
      <w:rFonts w:ascii="等线" w:hAnsi="等线" w:eastAsia="等线" w:cs="Times New Roman"/>
      <w:kern w:val="2"/>
      <w:sz w:val="21"/>
      <w:szCs w:val="22"/>
      <w:lang w:val="en-US" w:eastAsia="zh-CN" w:bidi="ar-SA"/>
    </w:rPr>
  </w:style>
  <w:style w:type="paragraph" w:customStyle="1" w:styleId="7">
    <w:name w:val="C243D7E76F4745DDBF8D8913F4BB010E"/>
    <w:qFormat/>
    <w:uiPriority w:val="0"/>
    <w:pPr>
      <w:widowControl w:val="0"/>
      <w:jc w:val="both"/>
    </w:pPr>
    <w:rPr>
      <w:rFonts w:ascii="等线" w:hAnsi="等线" w:eastAsia="等线" w:cs="Times New Roman"/>
      <w:kern w:val="2"/>
      <w:sz w:val="21"/>
      <w:szCs w:val="22"/>
      <w:lang w:val="en-US" w:eastAsia="zh-CN" w:bidi="ar-SA"/>
    </w:rPr>
  </w:style>
  <w:style w:type="paragraph" w:customStyle="1" w:styleId="8">
    <w:name w:val="2BF3104252B941A4ADCC8897998F8E79"/>
    <w:qFormat/>
    <w:uiPriority w:val="0"/>
    <w:pPr>
      <w:widowControl w:val="0"/>
      <w:jc w:val="both"/>
    </w:pPr>
    <w:rPr>
      <w:rFonts w:ascii="等线" w:hAnsi="等线" w:eastAsia="等线" w:cs="Times New Roman"/>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117</Pages>
  <Words>3011</Words>
  <Characters>3463</Characters>
  <Lines>310</Lines>
  <Paragraphs>87</Paragraphs>
  <TotalTime>2</TotalTime>
  <ScaleCrop>false</ScaleCrop>
  <LinksUpToDate>false</LinksUpToDate>
  <CharactersWithSpaces>3703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2018-12-21T06:31:00Z</dcterms:created>
  <dc:creator>lenovo</dc:creator>
  <cp:lastModifiedBy>111</cp:lastModifiedBy>
  <cp:lastPrinted>2026-05-12T02:24:00Z</cp:lastPrinted>
  <dcterms:modified xsi:type="dcterms:W3CDTF">2026-06-03T10:35:55Z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624A9265DBDC4E1CB17A5BB7F695E9C9_13</vt:lpwstr>
  </property>
  <property fmtid="{D5CDD505-2E9C-101B-9397-08002B2CF9AE}" pid="4" name="KSOTemplateDocerSaveRecord">
    <vt:lpwstr>eyJoZGlkIjoiM2E5Y2MyMTUwMTc2ODIzNzYwNjI4OTRmZjU3Y2Y5YzYiLCJ1c2VySWQiOiI1MjY0NTczOTYifQ==</vt:lpwstr>
  </property>
</Properties>
</file>